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49" w:rsidRDefault="007032F0">
      <w:pP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ВОПРОС: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Подскажите, пожалуйста, какие коэффициенты применять к нормативам НР и СП, если работы выполняются индивидуальным предпринимателем.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ОТВЕТ:</w:t>
      </w:r>
      <w:r>
        <w:rPr>
          <w:rStyle w:val="apple-converted-space"/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1. Изначально ответ на ваш вопрос следует искать в п. 4.6 и 4.7 «Методических указаний по определению величины накладных расходов в строительстве» (МДС 81-33.2004):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«4.6.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Для определения стоимости строительных работ, выполняемых индивидуальными предпринимателями  (физическими лицами) по договорам бытового или строительного подряда, величину накладных расходов рекомендуется рассчитывать на основе индивидуальной нормы путем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калькулирования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по статьям затрат, принимая для расчета только те статьи затрат и расходов, которые соответствуют фактическим условиям выполнения работ по бытовому или строительному подряду.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4.7.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При определении сметной стоимости строительства и расчетах за выполненные работы для индивидуальных предпринимателей и организаций, использующих упрощенную систему налогообложения, необходимо исключать из расчета индивидуальной нормы накладных расходов затраты, связанные с уплатой единого социального налога (ЕСН).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 использовании организациями в локальных сметах укрупненных нормативов накладных расходов по видам строительства или по видам строительных, монтажных и ремонтно-строительных работ к указанным нормативам применяется коэффициент 0,7».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i/>
          <w:iCs/>
          <w:color w:val="666666"/>
          <w:sz w:val="21"/>
          <w:szCs w:val="21"/>
          <w:shd w:val="clear" w:color="auto" w:fill="FFFFFF"/>
        </w:rPr>
        <w:t>Примечания: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– в указанном пункте предусматривается одинаковый подход к определению размера накладных расходов при определении сметной стоимости работ, выполняемых индивидуальными предпринимателями и организациями, использующими упрощенную систему налогообложения;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– пункт 4.7 МДС 81-33.2004 с 1 января 2011 г. утратил силу (письмо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Минрегиона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РФ от 6 декабря 2010 г. № 41099-КК/08).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2. В п. 2 письма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Минрегиона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от 21 февраля 2011 г. № 3757-КК/08 сказано, что для организаций, работающих по упрощенной системе налогообложения, к нормативам накладных расходов применяется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= 0,94 (соответственно, данное указание относится и к индивидуальным предпринимателям).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3. В п. 4 письма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Минрегиона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от 21 февраля 2011 г. № 3757-КК/08 сказано, что применение понижающих коэффициентов к нормативам накладных расходов (0,85) и сметной прибыли (0,8) в строительстве распространяется на организации, работающие по упрощенной системе налогообложения. При этом не утратило силу примечание к прил. 1 и 2 письма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Росстроя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от 18 ноября 2004 г. № АП-5536/06 о применении коэффициента 0,9 к нормативам сметной прибыли по видам строительно-монтажных и ремонтно-строительных работ при упрощенной системе налогообложения.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Вывод: при определении сметной стоимости работ, выполняемых индивидуальными предпринимателями, к нормативам накладных расходов по видам строительных, монтажных и пусконаладочных и ремонтно-строительных работ надо применять коэффициенты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= 0,94 и К = 0,85, к нормативам сметной прибыли – К = 0,9 и К = 0,8.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</w:p>
    <w:p w:rsidR="004A2AA5" w:rsidRDefault="004A2AA5" w:rsidP="004A2AA5"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Союз </w:t>
      </w:r>
      <w:proofErr w:type="spellStart"/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инжинеров</w:t>
      </w:r>
      <w:proofErr w:type="spellEnd"/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сметчиков. Журнал информационные Техно</w:t>
      </w:r>
      <w:r w:rsidR="00126746"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логии</w:t>
      </w:r>
      <w:r w:rsidR="002B41DF"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в строительстве Выпуск №11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ноябрь 2013г.</w:t>
      </w:r>
    </w:p>
    <w:p w:rsidR="004A2AA5" w:rsidRDefault="004A2AA5"/>
    <w:sectPr w:rsidR="004A2AA5" w:rsidSect="00C3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F0"/>
    <w:rsid w:val="00126746"/>
    <w:rsid w:val="001970DD"/>
    <w:rsid w:val="002B41DF"/>
    <w:rsid w:val="004A2AA5"/>
    <w:rsid w:val="00687DB3"/>
    <w:rsid w:val="007032F0"/>
    <w:rsid w:val="00C34449"/>
    <w:rsid w:val="00ED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3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2497</Characters>
  <Application>Microsoft Office Word</Application>
  <DocSecurity>0</DocSecurity>
  <Lines>20</Lines>
  <Paragraphs>5</Paragraphs>
  <ScaleCrop>false</ScaleCrop>
  <Company>ООО "Геомассив - ЮГ"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2013-11-21T05:47:00Z</dcterms:created>
  <dcterms:modified xsi:type="dcterms:W3CDTF">2013-11-21T06:44:00Z</dcterms:modified>
</cp:coreProperties>
</file>