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0F" w:rsidRPr="000E730F" w:rsidRDefault="000E730F" w:rsidP="000E730F">
      <w:pPr>
        <w:shd w:val="clear" w:color="auto" w:fill="FFFFFF"/>
        <w:spacing w:before="100" w:beforeAutospacing="1" w:after="100" w:afterAutospacing="1" w:line="240" w:lineRule="auto"/>
        <w:ind w:left="980" w:right="980"/>
        <w:jc w:val="center"/>
        <w:outlineLvl w:val="1"/>
        <w:rPr>
          <w:rFonts w:ascii="Verdana" w:eastAsia="Times New Roman" w:hAnsi="Verdana" w:cs="Times New Roman"/>
          <w:b/>
          <w:bCs/>
          <w:sz w:val="25"/>
          <w:szCs w:val="25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sz w:val="25"/>
          <w:szCs w:val="25"/>
          <w:lang w:eastAsia="ru-RU"/>
        </w:rPr>
        <w:t>ОСТ 45.01-98</w:t>
      </w:r>
      <w:r w:rsidRPr="000E730F">
        <w:rPr>
          <w:rFonts w:ascii="Verdana" w:eastAsia="Times New Roman" w:hAnsi="Verdana" w:cs="Times New Roman"/>
          <w:b/>
          <w:bCs/>
          <w:sz w:val="25"/>
          <w:szCs w:val="25"/>
          <w:lang w:eastAsia="ru-RU"/>
        </w:rPr>
        <w:br/>
        <w:t>Сеть первичная взаимоувязанной сети Российской Федерации.</w:t>
      </w:r>
    </w:p>
    <w:p w:rsidR="000E730F" w:rsidRPr="000E730F" w:rsidRDefault="000E730F" w:rsidP="000E730F">
      <w:pPr>
        <w:shd w:val="clear" w:color="auto" w:fill="FFFFFF"/>
        <w:spacing w:before="100" w:beforeAutospacing="1" w:after="100" w:afterAutospacing="1" w:line="240" w:lineRule="auto"/>
        <w:ind w:left="980" w:right="980"/>
        <w:jc w:val="center"/>
        <w:outlineLvl w:val="1"/>
        <w:rPr>
          <w:rFonts w:ascii="Verdana" w:eastAsia="Times New Roman" w:hAnsi="Verdana" w:cs="Times New Roman"/>
          <w:b/>
          <w:bCs/>
          <w:sz w:val="25"/>
          <w:szCs w:val="25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sz w:val="25"/>
          <w:szCs w:val="25"/>
          <w:lang w:eastAsia="ru-RU"/>
        </w:rPr>
        <w:t>СТАНДАРТ ОТРАСЛИ</w:t>
      </w:r>
      <w:r w:rsidRPr="000E730F">
        <w:rPr>
          <w:rFonts w:ascii="Verdana" w:eastAsia="Times New Roman" w:hAnsi="Verdana" w:cs="Times New Roman"/>
          <w:b/>
          <w:bCs/>
          <w:sz w:val="25"/>
          <w:szCs w:val="25"/>
          <w:lang w:eastAsia="ru-RU"/>
        </w:rPr>
        <w:br/>
        <w:t>СЕТЬ ПЕРВИЧНАЯ ВЗАИМОУВЯЗАННОЙ СЕТИ РОССИЙСКОЙ ФЕДЕРАЦИИ</w:t>
      </w:r>
      <w:r w:rsidRPr="000E730F">
        <w:rPr>
          <w:rFonts w:ascii="Verdana" w:eastAsia="Times New Roman" w:hAnsi="Verdana" w:cs="Times New Roman"/>
          <w:b/>
          <w:bCs/>
          <w:sz w:val="25"/>
          <w:szCs w:val="25"/>
          <w:lang w:eastAsia="ru-RU"/>
        </w:rPr>
        <w:br/>
        <w:t>Участки кабельные элементарные и секции кабельные линий передачи</w:t>
      </w:r>
      <w:r w:rsidRPr="000E730F">
        <w:rPr>
          <w:rFonts w:ascii="Verdana" w:eastAsia="Times New Roman" w:hAnsi="Verdana" w:cs="Times New Roman"/>
          <w:b/>
          <w:bCs/>
          <w:sz w:val="25"/>
          <w:szCs w:val="25"/>
          <w:lang w:eastAsia="ru-RU"/>
        </w:rPr>
        <w:br/>
        <w:t>Нормы электрические. Методы испытаний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  </w:t>
      </w:r>
    </w:p>
    <w:p w:rsidR="000E730F" w:rsidRPr="000E730F" w:rsidRDefault="000E730F" w:rsidP="000E730F">
      <w:pPr>
        <w:shd w:val="clear" w:color="auto" w:fill="FFFFFF"/>
        <w:spacing w:before="100" w:beforeAutospacing="1" w:after="100" w:afterAutospacing="1" w:line="240" w:lineRule="auto"/>
        <w:ind w:left="2449" w:right="2449"/>
        <w:jc w:val="center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ГОСКОМСВЯЗИ РОССИИ</w:t>
      </w:r>
      <w:r w:rsidRPr="000E730F">
        <w:rPr>
          <w:rFonts w:ascii="Verdana" w:eastAsia="Times New Roman" w:hAnsi="Verdana" w:cs="Times New Roman"/>
          <w:b/>
          <w:bCs/>
          <w:lang w:eastAsia="ru-RU"/>
        </w:rPr>
        <w:br/>
        <w:t>Москва</w:t>
      </w:r>
      <w:r w:rsidRPr="000E730F">
        <w:rPr>
          <w:rFonts w:ascii="Verdana" w:eastAsia="Times New Roman" w:hAnsi="Verdana" w:cs="Times New Roman"/>
          <w:b/>
          <w:bCs/>
          <w:lang w:eastAsia="ru-RU"/>
        </w:rPr>
        <w:br/>
        <w:t>1998</w:t>
      </w:r>
    </w:p>
    <w:p w:rsidR="000E730F" w:rsidRPr="000E730F" w:rsidRDefault="000E730F" w:rsidP="000E730F">
      <w:pPr>
        <w:shd w:val="clear" w:color="auto" w:fill="FFFFFF"/>
        <w:spacing w:before="100" w:beforeAutospacing="1" w:after="240" w:line="240" w:lineRule="auto"/>
        <w:ind w:left="2449" w:right="2449"/>
        <w:jc w:val="center"/>
        <w:outlineLvl w:val="4"/>
        <w:rPr>
          <w:rFonts w:ascii="Verdana" w:eastAsia="Times New Roman" w:hAnsi="Verdana" w:cs="Times New Roman"/>
          <w:b/>
          <w:bCs/>
          <w:lang w:eastAsia="ru-RU"/>
        </w:rPr>
      </w:pP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Предисловие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1. 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РАЗРАБОТАН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Центральным научно-исследовательским институтом связи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(ЦНИМС)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proofErr w:type="gramStart"/>
      <w:r w:rsidRPr="000E730F">
        <w:rPr>
          <w:rFonts w:ascii="Verdana" w:eastAsia="Times New Roman" w:hAnsi="Verdana" w:cs="Times New Roman"/>
          <w:lang w:eastAsia="ru-RU"/>
        </w:rPr>
        <w:t>ВНЕСЕН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Научно-техническим управлением и охраны труда Государственного комитета Российской Федерации по связи и информатизации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2. 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ПРИНЯТ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Государственным комитетом Российской Федерации по связи и информатизации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3. 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ВВЕДЕН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В ДЕЙСТВИЕ информационным письмом от 26.10.98 N6568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u w:val="single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4. ВЗАМЕН ОСТ 45.01-86</w:t>
      </w:r>
      <w:r w:rsidRPr="000E730F">
        <w:rPr>
          <w:rFonts w:ascii="Verdana" w:eastAsia="Times New Roman" w:hAnsi="Verdana" w:cs="Times New Roman"/>
          <w:u w:val="single"/>
          <w:lang w:eastAsia="ru-RU"/>
        </w:rPr>
        <w:t xml:space="preserve">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u w:val="single"/>
          <w:lang w:eastAsia="ru-RU"/>
        </w:rPr>
        <w:t>Содержание</w:t>
      </w:r>
      <w:r w:rsidRPr="000E730F">
        <w:rPr>
          <w:rFonts w:ascii="Verdana" w:eastAsia="Times New Roman" w:hAnsi="Verdana" w:cs="Times New Roman"/>
          <w:lang w:eastAsia="ru-RU"/>
        </w:rPr>
        <w:t xml:space="preserve">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1 Область применения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2 Нормативные ссылки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3 Определения и сокращения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lastRenderedPageBreak/>
        <w:t xml:space="preserve">4 Общие положения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5 Нормы на электрические параметры на постоянном токе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6 Нормы на электрические параметры на переменном токе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7 Объем приемо-сдаточных испытаний электрических параметров кабелей 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на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смонтированных ЭКУ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 Методы измерений и испытаний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Приложение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А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Электрические характеристики коаксиальных и симметричных кабелей связи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Приложение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Б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Системы передачи по коаксиальным и симметричным кабелям связи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Приложение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В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Технические данные катушек индуктивности, устанавливаемых в симметричные цепи кабелей связи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Приложение Г Перечень измерительных приборов для проверки параметров линий передачи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Приложение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Д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Библиография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СТАНДАРТ ОТРАСЛИ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СЕТЬ ПЕРВИЧНАЯ ВЗАИМОУВЯЗАННОЙ СЕТИ РОССИЙСКОЙ ФЕДЕРАЦИИ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Участки кабельные элементарные и секции кабельные линий передачи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Дата введения 1999 -01-01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Настоящий стандарт распространяется на элементарные кабельные участки (ЭКУ) и кабельные секции (КС) линий передачи магистральной и внутризоновых первичных сетей Взаимоувязанной сети связи Российской Федерации (ВСС РФ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-). </w:t>
      </w:r>
      <w:proofErr w:type="gramEnd"/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Стандарт устанавливает нормы на электрические параметры цепей на постоянном и переменном токах, смонтированных ЭКУ и КС аналоговых и цифровых систем передачи магистральной и внутризоновых сетей связи ВСС РФ. </w:t>
      </w:r>
      <w:proofErr w:type="gramEnd"/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lastRenderedPageBreak/>
        <w:t xml:space="preserve">Положения настоящего стандарта подлежат применению при эксплуатации кабельных линий передачи и при проведении ремонтно-восстановительных работ.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Стандарт не распространяется на кабельные линии передачи местных первичных сетей, на оптические и морские кабельные линии.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Электрические нормы на постоянном и переменном 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токах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относятся к ЭКУ, а при организации по кабелю различных систем передачи - к ЭКУ, к КС и к комбинациям ЭКУ и КС.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2 Нормативные ссылки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В настоящем стандарте использованы ссылки на следующие стандарты: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ГОСТ 2990-78 Кабели, провода и шнуры. Методы испытаний напряжением. ГОСТ 3345-76 Кабели, провода и шнуры. Метод определения электрического сопротивления изоляции. ГОСТ 15845-80 Изделия кабельные. Термины и определения ГОСТ 22348-86 Сеть связи автоматизированная единая. Термины и определения. ГОСТ 27893-88 Кабели связи. Методы испытаний.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3 Определения и сокращения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3.1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В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настоящем стандарте применяются следующие термины с соответствующими определениями.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Линия передачи</w:t>
      </w:r>
      <w:r w:rsidRPr="000E730F">
        <w:rPr>
          <w:rFonts w:ascii="Verdana" w:eastAsia="Times New Roman" w:hAnsi="Verdana" w:cs="Times New Roman"/>
          <w:lang w:eastAsia="ru-RU"/>
        </w:rPr>
        <w:t xml:space="preserve"> - совокупность физических цепей и (или) линейных трактов систем передачи, имеющих общие линейные сооружения, устройства их обслуживания и одну и ту же среду распространения (ГОСТ 22348).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Элементарный кабельный участок</w:t>
      </w:r>
      <w:r w:rsidRPr="000E730F">
        <w:rPr>
          <w:rFonts w:ascii="Verdana" w:eastAsia="Times New Roman" w:hAnsi="Verdana" w:cs="Times New Roman"/>
          <w:lang w:eastAsia="ru-RU"/>
        </w:rPr>
        <w:t xml:space="preserve"> (ЭКУ) - участок кабельной линии совместно со смонтированными оконечными кабельными устройствами.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Кабельная секция</w:t>
      </w:r>
      <w:r w:rsidRPr="000E730F">
        <w:rPr>
          <w:rFonts w:ascii="Verdana" w:eastAsia="Times New Roman" w:hAnsi="Verdana" w:cs="Times New Roman"/>
          <w:lang w:eastAsia="ru-RU"/>
        </w:rPr>
        <w:t xml:space="preserve"> (КС) - совокупность электрических цепей, соединенных последовательно на нескольких соседних ЭКУ для организации регенерационного (усилительного) участка одной или нескольких систем передачи с одинаковым расстоянием между регенераторами (усилителями), но с большим, чем длина ЭКУ данной линии.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Регенерационный участок</w:t>
      </w:r>
      <w:r w:rsidRPr="000E730F">
        <w:rPr>
          <w:rFonts w:ascii="Verdana" w:eastAsia="Times New Roman" w:hAnsi="Verdana" w:cs="Times New Roman"/>
          <w:lang w:eastAsia="ru-RU"/>
        </w:rPr>
        <w:t xml:space="preserve"> - совокупность цепи ЭКУ или КС с примыкающим к ним регенератором.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lastRenderedPageBreak/>
        <w:t>Пара</w:t>
      </w:r>
      <w:r w:rsidRPr="000E730F">
        <w:rPr>
          <w:rFonts w:ascii="Verdana" w:eastAsia="Times New Roman" w:hAnsi="Verdana" w:cs="Times New Roman"/>
          <w:lang w:eastAsia="ru-RU"/>
        </w:rPr>
        <w:t xml:space="preserve"> - группа из двух изолированных друг от друга жил (проводников), предназначенных для работы в одной электрической цепи (ГОСТ15845)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Пара симметричная</w:t>
      </w:r>
      <w:r w:rsidRPr="000E730F">
        <w:rPr>
          <w:rFonts w:ascii="Verdana" w:eastAsia="Times New Roman" w:hAnsi="Verdana" w:cs="Times New Roman"/>
          <w:lang w:eastAsia="ru-RU"/>
        </w:rPr>
        <w:t xml:space="preserve"> - пара, у которой изолированные жилы одинаковой конструкции расположены симметрично относительно ее продольной оси (ГОСТ 15845).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Пара коаксиальная</w:t>
      </w:r>
      <w:r w:rsidRPr="000E730F">
        <w:rPr>
          <w:rFonts w:ascii="Verdana" w:eastAsia="Times New Roman" w:hAnsi="Verdana" w:cs="Times New Roman"/>
          <w:lang w:eastAsia="ru-RU"/>
        </w:rPr>
        <w:t xml:space="preserve"> - пара, проводники которой расположены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соосно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 и разделены изоляцией (ГОСТ 15845).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Основная симметричная цепь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.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- 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ц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епь, образуемая в четверке звездной скрутки из накрест лежащих жил.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Искусственная цепь</w:t>
      </w:r>
      <w:r w:rsidRPr="000E730F">
        <w:rPr>
          <w:rFonts w:ascii="Verdana" w:eastAsia="Times New Roman" w:hAnsi="Verdana" w:cs="Times New Roman"/>
          <w:lang w:eastAsia="ru-RU"/>
        </w:rPr>
        <w:t xml:space="preserve"> - цепь, образуемая в четверке звездной скрутки, у которой одним проводником служат объединенные жилы одной основной симметричной цепи, а другим - объединенные жилы другой основной симметричной цепи.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Четверка</w:t>
      </w:r>
      <w:r w:rsidRPr="000E730F">
        <w:rPr>
          <w:rFonts w:ascii="Verdana" w:eastAsia="Times New Roman" w:hAnsi="Verdana" w:cs="Times New Roman"/>
          <w:lang w:eastAsia="ru-RU"/>
        </w:rPr>
        <w:t xml:space="preserve"> - группа, скрученная из четырех изолированных жил.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Четверка звездной скрутки</w:t>
      </w:r>
      <w:r w:rsidRPr="000E730F">
        <w:rPr>
          <w:rFonts w:ascii="Verdana" w:eastAsia="Times New Roman" w:hAnsi="Verdana" w:cs="Times New Roman"/>
          <w:lang w:eastAsia="ru-RU"/>
        </w:rPr>
        <w:t xml:space="preserve"> - четверка, в которой каждые две жилы, составляющие пару, расположены одна против другой на диагоналях квадрата, вершины которого образованы центрами токопроводящих жил в поперечном сечении четверки (ГОСТ 15845).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Электрическое сопротивление изоляции</w:t>
      </w:r>
      <w:r w:rsidRPr="000E730F">
        <w:rPr>
          <w:rFonts w:ascii="Verdana" w:eastAsia="Times New Roman" w:hAnsi="Verdana" w:cs="Times New Roman"/>
          <w:lang w:eastAsia="ru-RU"/>
        </w:rPr>
        <w:t xml:space="preserve"> - электрическое сопротивление постоянному току между жилами (проводниками) цепи;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между жилой (проводником) и металлической оболочкой кабеля (землей);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между жилой и пучком других жил, соединенных с металлической оболочкой (экраном).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Электрическое сопротивление шлейфа жил (</w:t>
      </w:r>
      <w:r w:rsidRPr="000E730F">
        <w:rPr>
          <w:rFonts w:ascii="Verdana" w:eastAsia="Times New Roman" w:hAnsi="Verdana" w:cs="Times New Roman"/>
          <w:lang w:eastAsia="ru-RU"/>
        </w:rPr>
        <w:t xml:space="preserve">проводников) - сумма электрических сопротивлений жил (проводников) цепи постоянному току.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Асимметрия сопротивлений</w:t>
      </w:r>
      <w:r w:rsidRPr="000E730F">
        <w:rPr>
          <w:rFonts w:ascii="Verdana" w:eastAsia="Times New Roman" w:hAnsi="Verdana" w:cs="Times New Roman"/>
          <w:lang w:eastAsia="ru-RU"/>
        </w:rPr>
        <w:t xml:space="preserve"> - разность электрических сопротивлений постоянному току двух жил, составляющих цепь.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lastRenderedPageBreak/>
        <w:t>Испытательное напряжение</w:t>
      </w:r>
      <w:r w:rsidRPr="000E730F">
        <w:rPr>
          <w:rFonts w:ascii="Verdana" w:eastAsia="Times New Roman" w:hAnsi="Verdana" w:cs="Times New Roman"/>
          <w:lang w:eastAsia="ru-RU"/>
        </w:rPr>
        <w:t xml:space="preserve"> - напряжение постоянного тока, прикладываемое между проводниками пары, между жилой и пучком других жил, соединенных с металлической оболочкой (экраном), и предназначенное для испытания изоляции жил и проводников.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Коэффициент затухания</w:t>
      </w:r>
      <w:r w:rsidRPr="000E730F">
        <w:rPr>
          <w:rFonts w:ascii="Verdana" w:eastAsia="Times New Roman" w:hAnsi="Verdana" w:cs="Times New Roman"/>
          <w:lang w:eastAsia="ru-RU"/>
        </w:rPr>
        <w:t xml:space="preserve"> - относительная величина, характеризующая изменение амплитуды синусоидальной волны напряжения (тока) при ее распространении на единицу длины линии.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Переходное затухание на ближнем конце</w:t>
      </w:r>
      <w:r w:rsidRPr="000E730F">
        <w:rPr>
          <w:rFonts w:ascii="Verdana" w:eastAsia="Times New Roman" w:hAnsi="Verdana" w:cs="Times New Roman"/>
          <w:lang w:eastAsia="ru-RU"/>
        </w:rPr>
        <w:t xml:space="preserve"> - переходное затухание между двумя цепями, когда источник влияния и приемник находятся в одном пункте ЭКУ или КС.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Защищенность цепи</w:t>
      </w:r>
      <w:r w:rsidRPr="000E730F">
        <w:rPr>
          <w:rFonts w:ascii="Verdana" w:eastAsia="Times New Roman" w:hAnsi="Verdana" w:cs="Times New Roman"/>
          <w:lang w:eastAsia="ru-RU"/>
        </w:rPr>
        <w:t xml:space="preserve"> - разность между значениями мощности полезного сигнала и мощности помехи в рассматриваемой точке цепи.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Защищенность цепи на дальнем конце</w:t>
      </w:r>
      <w:r w:rsidRPr="000E730F">
        <w:rPr>
          <w:rFonts w:ascii="Verdana" w:eastAsia="Times New Roman" w:hAnsi="Verdana" w:cs="Times New Roman"/>
          <w:lang w:eastAsia="ru-RU"/>
        </w:rPr>
        <w:t xml:space="preserve"> -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защищеность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 при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влияниии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 на дальний конец, когда источник влияния и приемник находятся на противоположных концах взаимовлияющих цепей ЭКУ или КС.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3.2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В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настоящем стандарте приняты следующие сокращения.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 xml:space="preserve">АСП </w:t>
      </w:r>
      <w:r w:rsidRPr="000E730F">
        <w:rPr>
          <w:rFonts w:ascii="Verdana" w:eastAsia="Times New Roman" w:hAnsi="Verdana" w:cs="Times New Roman"/>
          <w:lang w:eastAsia="ru-RU"/>
        </w:rPr>
        <w:t xml:space="preserve">- аналоговая система передачи.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ВСС РФ</w:t>
      </w:r>
      <w:r w:rsidRPr="000E730F">
        <w:rPr>
          <w:rFonts w:ascii="Verdana" w:eastAsia="Times New Roman" w:hAnsi="Verdana" w:cs="Times New Roman"/>
          <w:lang w:eastAsia="ru-RU"/>
        </w:rPr>
        <w:t xml:space="preserve"> - Взаимоувязанная сеть связи Российской Федерации.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ВЧ</w:t>
      </w:r>
      <w:r w:rsidRPr="000E730F">
        <w:rPr>
          <w:rFonts w:ascii="Verdana" w:eastAsia="Times New Roman" w:hAnsi="Verdana" w:cs="Times New Roman"/>
          <w:lang w:eastAsia="ru-RU"/>
        </w:rPr>
        <w:t xml:space="preserve"> - высокочастотный.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КС</w:t>
      </w:r>
      <w:r w:rsidRPr="000E730F">
        <w:rPr>
          <w:rFonts w:ascii="Verdana" w:eastAsia="Times New Roman" w:hAnsi="Verdana" w:cs="Times New Roman"/>
          <w:lang w:eastAsia="ru-RU"/>
        </w:rPr>
        <w:t xml:space="preserve"> - кабельная секция.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НРП</w:t>
      </w:r>
      <w:r w:rsidRPr="000E730F">
        <w:rPr>
          <w:rFonts w:ascii="Verdana" w:eastAsia="Times New Roman" w:hAnsi="Verdana" w:cs="Times New Roman"/>
          <w:lang w:eastAsia="ru-RU"/>
        </w:rPr>
        <w:t xml:space="preserve"> - необслуживаемый регенерационный пункт.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НУП</w:t>
      </w:r>
      <w:r w:rsidRPr="000E730F">
        <w:rPr>
          <w:rFonts w:ascii="Verdana" w:eastAsia="Times New Roman" w:hAnsi="Verdana" w:cs="Times New Roman"/>
          <w:lang w:eastAsia="ru-RU"/>
        </w:rPr>
        <w:t xml:space="preserve"> - необслуживаемый усилительный пункт.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НЧ</w:t>
      </w:r>
      <w:r w:rsidRPr="000E730F">
        <w:rPr>
          <w:rFonts w:ascii="Verdana" w:eastAsia="Times New Roman" w:hAnsi="Verdana" w:cs="Times New Roman"/>
          <w:lang w:eastAsia="ru-RU"/>
        </w:rPr>
        <w:t xml:space="preserve"> - низкочастотный.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ОРП</w:t>
      </w:r>
      <w:r w:rsidRPr="000E730F">
        <w:rPr>
          <w:rFonts w:ascii="Verdana" w:eastAsia="Times New Roman" w:hAnsi="Verdana" w:cs="Times New Roman"/>
          <w:lang w:eastAsia="ru-RU"/>
        </w:rPr>
        <w:t xml:space="preserve"> - обслуживаемый регенерационный пункт.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ОУП</w:t>
      </w:r>
      <w:r w:rsidRPr="000E730F">
        <w:rPr>
          <w:rFonts w:ascii="Verdana" w:eastAsia="Times New Roman" w:hAnsi="Verdana" w:cs="Times New Roman"/>
          <w:lang w:eastAsia="ru-RU"/>
        </w:rPr>
        <w:t xml:space="preserve"> - обслуживаемый усилительный пункт.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lastRenderedPageBreak/>
        <w:t>СП</w:t>
      </w:r>
      <w:r w:rsidRPr="000E730F">
        <w:rPr>
          <w:rFonts w:ascii="Verdana" w:eastAsia="Times New Roman" w:hAnsi="Verdana" w:cs="Times New Roman"/>
          <w:lang w:eastAsia="ru-RU"/>
        </w:rPr>
        <w:t xml:space="preserve"> - система передачи.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ЦСП</w:t>
      </w:r>
      <w:r w:rsidRPr="000E730F">
        <w:rPr>
          <w:rFonts w:ascii="Verdana" w:eastAsia="Times New Roman" w:hAnsi="Verdana" w:cs="Times New Roman"/>
          <w:lang w:eastAsia="ru-RU"/>
        </w:rPr>
        <w:t xml:space="preserve"> - цифровая система передачи.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b/>
          <w:bCs/>
          <w:lang w:eastAsia="ru-RU"/>
        </w:rPr>
        <w:t>ЭКУ</w:t>
      </w:r>
      <w:r w:rsidRPr="000E730F">
        <w:rPr>
          <w:rFonts w:ascii="Verdana" w:eastAsia="Times New Roman" w:hAnsi="Verdana" w:cs="Times New Roman"/>
          <w:lang w:eastAsia="ru-RU"/>
        </w:rPr>
        <w:t xml:space="preserve"> - элементарный кабельный участок.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4 Общие положения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4.1 Электрические нормы на параметры цепей кабельных линий передачи распространяются на ЭКУ и КС, заканчивающиеся оконечными кабельными устройствами НРП (НУП) и вводно-кабельным оборудованием оконечных станций.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4.2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В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зависимости от конструкции цепей (пар) кабели разделяются на коаксиальные и симметричные. Симметричные кабели подразделяются 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на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высокочастотные (ВЧ) и низкочастотные (НЧ).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4.3 Нормы настоящего стандарта распространяются на ЭКУ и КС состоящие: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из коаксиальных кабелей с парами, имеющими шайбовую, баллонную или пористо-полиэтиленовую изоляцию (кабели типов КМ-4, КМА-4, КМЭ-4, КМ-8/6, МКТ-4, МКТА-4 и ВКПАП);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из симметричных ВЧ кабелей с кордельно-полистирольной или полиэтиленовой изоляцией (кабели типов МКС, МКСА,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МКССт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, SKA).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4.4 Электрические характеристики цепей коаксиальных и симметричных ВЧ кабелей связи приведены в приложении А.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4.5 Коаксиальные и симметричные ВЧ кабельные линии передачи могут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применяиься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 для аналоговых и цифровых систем на различные диапазоны передаваемых частот и различные скорости передачи (приложение Б).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4.6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Д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ве симметричные пары в коаксиальных кабелях типа КМ-4 и КМА-4 могут быть применены для распределительных систем передачи (на 24 и 30 телефонных каналов).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4.7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Н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а одной или нескольких симметричных парах коаксиальных кабелей могут устанавливаться катушки индуктивности (приложение В).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5 Нормы на электрические параметры на постоянном токе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lastRenderedPageBreak/>
        <w:t xml:space="preserve">5.1 Электрические параметры коаксиальных кабелей на постоянном токе смонтированных ЭКУ должны соответствовать нормам, приведенным в таблице 1.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u w:val="single"/>
          <w:lang w:eastAsia="ru-RU"/>
        </w:rPr>
        <w:t>Таблица 1</w:t>
      </w:r>
      <w:r w:rsidRPr="000E730F">
        <w:rPr>
          <w:rFonts w:ascii="Verdana" w:eastAsia="Times New Roman" w:hAnsi="Verdana" w:cs="Times New Roman"/>
          <w:lang w:eastAsia="ru-RU"/>
        </w:rPr>
        <w:t xml:space="preserve">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6776"/>
        <w:gridCol w:w="840"/>
      </w:tblGrid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Норма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 xml:space="preserve">Коаксиальная </w:t>
            </w:r>
            <w:proofErr w:type="gramStart"/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>пара типа</w:t>
            </w:r>
            <w:proofErr w:type="gramEnd"/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 xml:space="preserve"> 2,6/9,4 (2,6/9,5)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изоляции между внутренним и внешним проводниками коаксиальной пары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,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М0м*км,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Испытательное напряжение между внутренним и внешним проводниками коаксиальной пары. В,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Испытательное напряжение между внешним проводником коаксиальной пары и всеми другими внешними проводниками коаксиальных пар, соединенными между собой и с заземленной металлической оболочкой кабеля. В,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 xml:space="preserve">Коаксиальная </w:t>
            </w:r>
            <w:proofErr w:type="gramStart"/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>пара типа</w:t>
            </w:r>
            <w:proofErr w:type="gramEnd"/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 xml:space="preserve"> 2,1/9,7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изоляции Юм*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км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, не менее: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между внутренним и внешним проводниками коаксиальной 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между внешним проводником коаксиальной пары кабеля и землей (для кабеля, проложенного в земле)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Испытательное напряжение между внутренним и внешним проводниками коаксиальной пары. В,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 xml:space="preserve">Коаксиальная </w:t>
            </w:r>
            <w:proofErr w:type="gramStart"/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>пара типа</w:t>
            </w:r>
            <w:proofErr w:type="gramEnd"/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 xml:space="preserve"> 1,2/4,6 (1,2/4,4)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изоляции между внутренним и внешним проводниками коаксиальной пары, М0м*км,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Испытательное напряжение между 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внутренним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и внешним проводниками коаксиальной пары, В,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Испытательное напряжение между внешним проводником коаксиальной пары и всеми другими внешними проводниками коаксиальных пар, соединенными между собой и с заземленной металлической оболочкой кабеля. В,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>Отдельные симметричные пары, пары звездных четверок и одиночные жилы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изоляции между каждой жилой и другими жилами, соединенными с внешними проводниками коаксиальных пар, и заземленной металлической оболочкой, М0м*км, не менее: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для жилы в бумажной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для жилы в полиэтиленовой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Испытательное напряжение между каждой жилой (кроме 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цепи с дополнительной индуктивностью) и всеми другими жилами, соединенными с внешними проводниками коаксиальных пар и заземленной металлической оболочкой. В,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 кабелях КМ-4, КМА-4 и КМЭ-4: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с воздушно-бумажной изоляцией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700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с полиэтиленовой изоляцией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1200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 кабеле КМ-8/6: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 четверке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800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 отдельных парах,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 одиночных жилах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 кабелях МКТ-4 и МКТА-4: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>Контрольная жила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изоляции между контрольной жилой и соединенными между собой внешними проводниками коаксиальных пар и заземленной металлической оболочкой, МОм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,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на участок,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Испытательное напряжение между контрольной жилой и соединенными между собой внешними проводниками коаксиальных пар и заземленной металлической оболочкой, 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В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>Защитные покровы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изоляции полиэтиленового наружного защитного покрова кабеля, М0м*км,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а) между металлической оболочкой и землей (для кабеля без брони), между броней и землей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б) между металлической оболочкой и броней: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0,1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>Примечания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При применении в оконечных устройствах: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розеток коаксиальных соединителей норма по п.п. 1, 4 и 6 при температуре не выше 35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°С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, не менее: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a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10000 М0м*км при относительной влажности воздуха не более 80%;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б)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400 МОм на участок при относительной влажности воздуха более 80%;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вилок соединителей типов 2РМГ и ШР норма на ЭКУ по пункту 9 при температуре не выше 35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°С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, не менее: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a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500 МОм при относительной влажности воздуха не более 80%;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б)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2,5 МОм при относительной влажности воздуха более 80%.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Норма на ЭКУ по пункту 11, при относительной влажности воздуха более 80% у оконечных устройств - не менее 25 МОм;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Если по пункту 13а) установленная норма не выдерживается и 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в результате проверки состояния кабеля и устранения сосредоточенных повреждений довести сопротивление изоляции до нормы не предоставляется возможным, то допускается принимать в эксплуатацию кабели по фактически достигнутым значениям, но не менее 100 к0м*км.</w:t>
            </w:r>
            <w:proofErr w:type="gramEnd"/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При наличии в кабеле избыточного давления воздуха испытательные напряжения коаксиальных пар повышаются на 100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В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, а симметричных пар и контрольной жилы - на 15 В на каждую 0,01 МПа (0,1 кгс/см2).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Для кабелей, проложенных в высокогорных районах, норма испытательного напряжения уменьшается на 50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В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на каждые 500 м высоты над уровнем моря.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В обозначениях типов кабельных пар в числителе указан диаметр внутреннего проводника, а в знаменателе - внутренний диаметр внешнего проводника, 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мм</w:t>
            </w:r>
            <w:proofErr w:type="gramEnd"/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5.2 Электрические параметры симметричных ВЧ кабелей на постоянном токе смонтированных ЭКУ должны соответствовать нормам, приведенным в таблице 2.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u w:val="single"/>
          <w:lang w:eastAsia="ru-RU"/>
        </w:rPr>
        <w:t>Таблица 2</w:t>
      </w:r>
      <w:r w:rsidRPr="000E730F">
        <w:rPr>
          <w:rFonts w:ascii="Verdana" w:eastAsia="Times New Roman" w:hAnsi="Verdana" w:cs="Times New Roman"/>
          <w:lang w:eastAsia="ru-RU"/>
        </w:rPr>
        <w:t xml:space="preserve">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6719"/>
        <w:gridCol w:w="897"/>
      </w:tblGrid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Норма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Электрическое сопротивление изоляции между каждой жилой и всеми другими жилами кабеля, соединенными с металлической оболочкой (экраном),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МОм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.к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м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изоляции полиэтиленового шлангового защитного покрова кабеля, М0м*км, не менее: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a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между металлической оболочкой (экраном) и землей (для кабелей без брони), между броней и землей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между металлической оболочкой и броней: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0,1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Испытательное напряжение ВЧ кабелей. В,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между всеми жилами, соединенными в пучок, и заземленной металлической оболочкой (экраном)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2000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между каждой жилой и всеми остальными жилами кабеля, соединенными в пучок и с заземленной металлической оболочкой (экраном)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1500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>Примечания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Если по 2.а) установленная норма не 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выдерживается и в результате проверки состояния кабеля и устранения сосредоточенных повреждений довести сопротивление изоляции до нормы не представляется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возможным, то допускается принимать в эксплуатацию кабели по фактически достигнутым значениям, но не менее 100 к0м*км.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При наличии в кабеле избыточного давления воздуха испытательные напряжения необходимо повысить на 60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В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на каждую 0,01 МПа (0,1 кгс/см2).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Для кабелей, проложенных в высокогорных районах, испытательные напряжения необходимо уменьшить на 30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В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на каждые 500 м высоты над уровнем моря.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б Нормы на электрические параметры на переменном токе </w:t>
      </w:r>
      <w:r w:rsidRPr="000E730F">
        <w:rPr>
          <w:rFonts w:ascii="Verdana" w:eastAsia="Times New Roman" w:hAnsi="Verdana" w:cs="Times New Roman"/>
          <w:lang w:eastAsia="ru-RU"/>
        </w:rPr>
        <w:br/>
        <w:t>6.1 Электрические параметры симметричных пар коаксиальных кабелей на переменном токе на смонтированных ЭКУ должны соответствовать нормам, приведенным в таблицах 3 и 4.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</w:t>
      </w:r>
      <w:r w:rsidRPr="000E730F">
        <w:rPr>
          <w:rFonts w:ascii="Verdana" w:eastAsia="Times New Roman" w:hAnsi="Verdana" w:cs="Times New Roman"/>
          <w:lang w:eastAsia="ru-RU"/>
        </w:rPr>
        <w:br/>
      </w:r>
      <w:r w:rsidRPr="000E730F">
        <w:rPr>
          <w:rFonts w:ascii="Verdana" w:eastAsia="Times New Roman" w:hAnsi="Verdana" w:cs="Times New Roman"/>
          <w:u w:val="single"/>
          <w:lang w:eastAsia="ru-RU"/>
        </w:rPr>
        <w:t>Таблица 3</w:t>
      </w:r>
      <w:r w:rsidRPr="000E730F">
        <w:rPr>
          <w:rFonts w:ascii="Verdana" w:eastAsia="Times New Roman" w:hAnsi="Verdana" w:cs="Times New Roman"/>
          <w:lang w:eastAsia="ru-RU"/>
        </w:rPr>
        <w:t xml:space="preserve">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"/>
        <w:gridCol w:w="5578"/>
        <w:gridCol w:w="2173"/>
      </w:tblGrid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Норма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Переходное затухание на ближнем конце между двумя симметричными парами в кабелях типов КМ-4 и КМА-4, не менее, дБ: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для системы передачи К-24Р в диапазоне частот 10-110 кГц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78 (для 6 и 3 км)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82 (для 1,5км)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для первичных ЦСП на частоте 1024 кбит/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62 (для 3 км)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Номинальные значения коэффициентов затухания симметричной пары с дополнительной индуктивностью для кабельной секции ОУИ-ОУП (ОРП-ОРП) в кабелях (таблица 4) КМ-4, КМА-4, МКТ-4 и ЖТА-4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Характеристика (таблица 4)</w:t>
            </w: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u w:val="single"/>
          <w:lang w:eastAsia="ru-RU"/>
        </w:rPr>
        <w:t>Таблица 4</w:t>
      </w:r>
      <w:r w:rsidRPr="000E730F">
        <w:rPr>
          <w:rFonts w:ascii="Verdana" w:eastAsia="Times New Roman" w:hAnsi="Verdana" w:cs="Times New Roman"/>
          <w:lang w:eastAsia="ru-RU"/>
        </w:rPr>
        <w:t xml:space="preserve">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6"/>
        <w:gridCol w:w="1227"/>
        <w:gridCol w:w="1122"/>
        <w:gridCol w:w="1212"/>
        <w:gridCol w:w="1212"/>
        <w:gridCol w:w="2185"/>
      </w:tblGrid>
      <w:tr w:rsidR="000E730F" w:rsidRPr="000E730F" w:rsidTr="000E730F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Частота,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кГц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Номинальные значения коэффициентов симметричной пары с дополнительной индуктивностью,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в СП К-3600 с шагом </w:t>
            </w:r>
            <w:proofErr w:type="spellStart"/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L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эку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/2 К-1920П и ШМ920 L/4 на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 xml:space="preserve">кабелях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пшов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 СП VLT-1920 (ВЛТ-1920) в кабелях типов КМ-4 и КМА-4 с шагом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в СП ВК 960-2 (БК 960-2) с шагом </w:t>
            </w:r>
            <w:proofErr w:type="spellStart"/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L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эку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/4 кабелях типов МКТ-4 и МКТА-4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КМ-4, КМА-4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КМ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/8/6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1200 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0,3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0,4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0,6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0,8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1,3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1,8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2,4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2,6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0,182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0,183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0,187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0,189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0,196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0,206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0,217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0,221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0,178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0,179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0,182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0,184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0,192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0,201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0,212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0,216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0,155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0,158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0,160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0,162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0,168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0,176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0,189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0,194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0,166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0,168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0,170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0,172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0,178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0,184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0,195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0,200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0,228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0,232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0,236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0,239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0,248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0,256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0,277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0,285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-0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Примечания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1 Отклонения коэффициентов затухания от номинальных значений не должны быть более 10% для максимальной длины кабельной секции ОУП-ОУП (ОРП-ОРП)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 xml:space="preserve">2 </w:t>
            </w:r>
            <w:proofErr w:type="spellStart"/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L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эку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- длина ЭКУ</w:t>
            </w: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lastRenderedPageBreak/>
        <w:t xml:space="preserve">6.2 Защищенность цепей симметричных ВЧ кабелей, оборудуемых АСП К-12+12, К-60 и VLT-120 на ЭКУ и КС, при симметрировании на ЭКУ на линиях передачи магистральной и внутризоновых сетях, а также на магистральных соединительных линиях должны соответствовать нормам, приведенным в таблице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5.</w:t>
      </w:r>
      <w:r w:rsidRPr="000E730F">
        <w:rPr>
          <w:rFonts w:ascii="Verdana" w:eastAsia="Times New Roman" w:hAnsi="Verdana" w:cs="Times New Roman"/>
          <w:u w:val="single"/>
          <w:lang w:eastAsia="ru-RU"/>
        </w:rPr>
        <w:t>Таблица 5</w:t>
      </w:r>
      <w:r w:rsidRPr="000E730F">
        <w:rPr>
          <w:rFonts w:ascii="Verdana" w:eastAsia="Times New Roman" w:hAnsi="Verdana" w:cs="Times New Roman"/>
          <w:lang w:eastAsia="ru-RU"/>
        </w:rPr>
        <w:t xml:space="preserve">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"/>
        <w:gridCol w:w="4430"/>
        <w:gridCol w:w="1672"/>
        <w:gridCol w:w="1687"/>
      </w:tblGrid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Нормируемая характеристика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Норма распределения значений защищенности в комбинациях взаимовлияющих цепей, %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90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 линиях магистральной сети: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значение защищенности цепей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многопарных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одночетверочных кабелей в спектре частот АСП, дБ,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74,0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 линиях внутризоновых сетей и магистральных соединительных линиях: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 xml:space="preserve">значение защищенности цепей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многопарных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и одночетверочных кабелей в спектре частот АСП, дБ, не менее 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-п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ри количестве ЭКУ на секции ОУП-ОУП: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1 - 5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6-11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12 - 17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18 - 22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23 - 28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29 - 33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34 - 39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40 - 44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45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64,0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64,5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65,5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67,0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68,0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68,5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69,5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70,0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71,0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70,0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70,0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70,5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71,5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72,5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73,0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74,0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74,5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75,5</w:t>
            </w: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6.3 Защищенность цепей симметричных ВЧ кабелей, оборудуемых АСП К-12+12, К-60 и VLT-120 на линиях передачи магистральной и внутризоновых сетей и на магистральных соединительных линиях при обеспечении защищённости линейных трактов на секции ОУП-ОУП (без симметрирования кабеля) с помощью устройств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противосвязи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, включаемых из ОУЛ, должна соответствовать нормам: </w:t>
      </w:r>
      <w:r w:rsidRPr="000E730F">
        <w:rPr>
          <w:rFonts w:ascii="Verdana" w:eastAsia="Times New Roman" w:hAnsi="Verdana" w:cs="Times New Roman"/>
          <w:lang w:eastAsia="ru-RU"/>
        </w:rPr>
        <w:br/>
        <w:t xml:space="preserve">на ЭКУ без включения элементов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противосвязи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>, не менее 55 дБ;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</w:t>
      </w:r>
      <w:r w:rsidRPr="000E730F">
        <w:rPr>
          <w:rFonts w:ascii="Verdana" w:eastAsia="Times New Roman" w:hAnsi="Verdana" w:cs="Times New Roman"/>
          <w:lang w:eastAsia="ru-RU"/>
        </w:rPr>
        <w:br/>
        <w:t xml:space="preserve">на ЭКУ при включении элементов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противосвязи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 на НУП, не менее 64 дБ.6.4 Электрические характеристики цепей симметричных БЧ кабелей, оборудуемых ЦСП МКМ-120 и МКМ-480, а также характеристики при совместной работе систем передачи МКМ-120, МКМ-480 и К-60 на переменном токе </w:t>
      </w:r>
      <w:r w:rsidRPr="000E730F">
        <w:rPr>
          <w:rFonts w:ascii="Verdana" w:eastAsia="Times New Roman" w:hAnsi="Verdana" w:cs="Times New Roman"/>
          <w:lang w:eastAsia="ru-RU"/>
        </w:rPr>
        <w:lastRenderedPageBreak/>
        <w:t xml:space="preserve">должны соответствовать нормам, приведенным в таблице 6. </w:t>
      </w:r>
      <w:r w:rsidRPr="000E730F">
        <w:rPr>
          <w:rFonts w:ascii="Verdana" w:eastAsia="Times New Roman" w:hAnsi="Verdana" w:cs="Times New Roman"/>
          <w:lang w:eastAsia="ru-RU"/>
        </w:rPr>
        <w:br/>
      </w:r>
      <w:r w:rsidRPr="000E730F">
        <w:rPr>
          <w:rFonts w:ascii="Verdana" w:eastAsia="Times New Roman" w:hAnsi="Verdana" w:cs="Times New Roman"/>
          <w:u w:val="single"/>
          <w:lang w:eastAsia="ru-RU"/>
        </w:rPr>
        <w:t>Таблица б</w:t>
      </w:r>
      <w:r w:rsidRPr="000E730F">
        <w:rPr>
          <w:rFonts w:ascii="Verdana" w:eastAsia="Times New Roman" w:hAnsi="Verdana" w:cs="Times New Roman"/>
          <w:lang w:eastAsia="ru-RU"/>
        </w:rPr>
        <w:t xml:space="preserve">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"/>
        <w:gridCol w:w="5670"/>
        <w:gridCol w:w="1125"/>
        <w:gridCol w:w="956"/>
      </w:tblGrid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Частота, кГц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Норма, дБ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>Кабели емкостью 4х4 и 7х4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Защищенность цепи на дальнем конце, дБ, не менее: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в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межчетверочной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комбинации взаимовлияющих цепей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4224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17184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35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22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во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внутричетверочной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комбинации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4224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17184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27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12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Защищенность цепи на дальнем конце, измеренная в комбинациях: влияющая цепь - цепь ЭКУ, оборудуемая аппаратурой МКМ-120 или МКМ-480; цепь, подверженная влиянию, - цепь КС,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оборуемая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аппаратурой К-60, дБ,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t>Кабели емкостью 1х4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Защищенность цепи на дальнем конце, дБ,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4224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25</w:t>
            </w: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7 Объем приемо-сдаточных испытаний электрических параметров кабелей 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на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смонтированных ЭКУ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7.1 Проверке на соответствие нормам, приведенным в разделах 5 и 6 (кроме пункта 2 таблицы 6), должны подвергаться все кабели на каждом ЭКУ и КС.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7.2 Испытаниям изоляции напряжением подвергаются все жилы и проводники кабелей, кроме пар с дополнительной индуктивностью.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7.3 Измерение затухания симметричных пар с дополнительной индуктивностью в коаксиальных кабелях проводится с двух сторон кабельной секции ОУП-ОУП (ОРП-ОРП).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7.4 Измерение защищенности на дальнем конце пар симметричных ВЧ кабелей, предназначенных для АСП, проводится во всем диапазоне частот данной системы передачи в 100% комбинаций влияющих и подверженных влиянию пар с переменой их мест с одной стороны ЭКУ. При этом в протокол записываются минимальные значения защищенности в данной комбинации пар.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7.5 Измерение защищенности на дальнем конце пар симметричных ВЧ кабелей, предназначенных для ЦСП МКМ-120 </w:t>
      </w:r>
      <w:r w:rsidRPr="000E730F">
        <w:rPr>
          <w:rFonts w:ascii="Verdana" w:eastAsia="Times New Roman" w:hAnsi="Verdana" w:cs="Times New Roman"/>
          <w:lang w:eastAsia="ru-RU"/>
        </w:rPr>
        <w:lastRenderedPageBreak/>
        <w:t xml:space="preserve">(МКМ-480), проводится на частоте 4224 (17184) кГц во всех комбинациях влияющих и подверженных влиянию цепей без перемены их мест и с одной стороны ЭКУ.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7.6 Измерение защищенности на дальнем конце пар симметричных ВЧ кабелей при совместной работе систем передачи МКМ-120 (МКМ-480)и К-60 производится во всех комбинациях влияющих и подверженных влиянию цепей без перемены их мест и с одной стороны ЭКУ. При этом в качестве влияющих цепей выбираются цепи системы передачи МКМ-120 (МКМ-480). Проверка на соответствие нормам защищенности цепей должна производиться на каждом ЭКУ системы передачи МКМ-120 (МКМ-480), прилегающем к усилительному пункту системы передачи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К-бО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7.7 Измерение переходного затухания на ближнем конце между симметричными парами в коаксиальных кабелях, используемых для систем передачи К-24 и МКМ-ЗОР, проводится без перемены мест с обеих сторон ЭКУ.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7.8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П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ри выявлении хотя бы одной характеристики, неудовлетворяющей норме, ЭКУ бракуется и предъявляется к сдаче повторно после доведения его электрических характеристик до норм настоящего стандарта. Результаты электрических измерений и испытаний оформляются соответствующими протоколами по установленной форме.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 Методы испытаний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8.1 Электрические испытания кабельных линий передачи должны выполняться в соответствии с требованиями охраны труда и техники безопасности.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8.2 Электрические испытания кабельных линий передачи, а также предварительная настройка и проверка правильности показаний приборов должны проводиться в соответствии с указаниями, изложенными в Руководстве по электрическим измерениям линий магистральной и внутризоновых сетей связи [1] и в технических описаниях и инструкциях по эксплуатации измерительных приборов.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8.3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В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се электрические измерения ЭКУ и КС должны проводиться с оконечных кабельных устройств.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Вначале проводится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прозвонка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 на правильность монтажа, на целость жил и экранов и определяется соответствие нумерации кабелей, четверок (групп), пар, жил и экранов с маркировкой элементов кабеля на оконечных кабельных устройствах, затем проводятся измерения и испытания постоянным током и далее - переменным.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lastRenderedPageBreak/>
        <w:t xml:space="preserve">При этом измерения на переменном токе проводятся только в том случае, если все электрические параметры, измеренные на постоянном токе, соответствуют нормам.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8.4 Электрическое сопротивление изоляции измеряется переносными кабельными приборами в соответствии с требованиями ГОСТ 3345.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8.5 Испытание изоляции напряжением проводится в течение 2 минут в соответствии с ГОСТ 2990.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8.6 Измерения затухания симметричных пар с дополнительной индуктивностью на секции ОУП-ОП (ОУП) проводится методом разности уровней с двух сторон секции на частотах 0,3; 0,4; 0,6; 0,8; 1,3; 1,8;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2,4, 2,6 и 2,7 кГц при нагрузке пар на сопротивления 1800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j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_ 50 Ом в кабелях типов МКТ-4 и МКТА-4 и 1400 j: 50 Ом в кабелях типов КМ-4 и КМА-4.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Определение коэффициента затухания 20 дБ/км при температуре 20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°С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проводится по формуле: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a20=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aT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 /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l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[1+Aa(t-20)] ,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где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aT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- затухание измеренное при температуре грунта </w:t>
      </w:r>
      <w:proofErr w:type="spellStart"/>
      <w:r w:rsidRPr="000E730F">
        <w:rPr>
          <w:rFonts w:ascii="Verdana" w:eastAsia="Times New Roman" w:hAnsi="Verdana" w:cs="Times New Roman"/>
          <w:lang w:eastAsia="ru-RU"/>
        </w:rPr>
        <w:t>t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°С</w:t>
      </w:r>
      <w:proofErr w:type="spellEnd"/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, в дБ;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proofErr w:type="spellStart"/>
      <w:r w:rsidRPr="000E730F">
        <w:rPr>
          <w:rFonts w:ascii="Verdana" w:eastAsia="Times New Roman" w:hAnsi="Verdana" w:cs="Times New Roman"/>
          <w:lang w:eastAsia="ru-RU"/>
        </w:rPr>
        <w:t>l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 - длина секции ОУП-ОП (ОУП), км;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proofErr w:type="spellStart"/>
      <w:r w:rsidRPr="000E730F">
        <w:rPr>
          <w:rFonts w:ascii="Verdana" w:eastAsia="Times New Roman" w:hAnsi="Verdana" w:cs="Times New Roman"/>
          <w:lang w:eastAsia="ru-RU"/>
        </w:rPr>
        <w:t>Aa</w:t>
      </w:r>
      <w:proofErr w:type="spellEnd"/>
      <w:r w:rsidRPr="000E730F">
        <w:rPr>
          <w:rFonts w:ascii="Verdana" w:eastAsia="Times New Roman" w:hAnsi="Verdana" w:cs="Times New Roman"/>
          <w:lang w:eastAsia="ru-RU"/>
        </w:rPr>
        <w:t xml:space="preserve">- температурный коэффициент затухания, равный 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З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·10 1/град Результаты расчетов коэффициентов затухания сравниваются с данными таблицы 4.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8.7 Измерения переходного затухания на ближнем конце кабеля и защищенности на дальнем конце кабеля между симметричными цепями проводятся в соответствии с требованиями ГОСТ 27893 с учетом следующих особенностей.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8.7.1 Измерение переходного затухания на ближнем конце между симметричными парами коаксиальных кабелей проводятся: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- для системы К-24 с помощью прибора типа ВИЗ в диапазоне частот до 110 кГц по методу сравнения;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lastRenderedPageBreak/>
        <w:t>- для системы ИКМ-ЗОР с помощью прибора МПКД-М для скорости передачи 2048 кбит/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с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>по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методу разности уровней.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8.7.2 Измерение защищенности на дальнем конце между парами симметричных кабелей проводится: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- для цепей симметричных ВЧ кабелей, предназначенных для системы передачи ИКМ-120 с помощью прибора ИЗКЛ-120 на частоте 4224 кГц, по методу разности уровней;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- для цепей симметричных ВЧ кабелей, предназначенных для системы передачи ИКМ-480, с помощью прибора МЗКЛ-ЗС на частоте 17184 кГц по методу разности уровней;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- для цепей симметричных ВЧ кабелей, предназначенных для совместной работы систем передачи ИКМ-120, МКМ-480, К-1020С и К-60, с помощью приборов ВИЗ на частоте 250 кГц. При этом в качестве влияющих цепей выбираются цепи систем передачи МКМ-120, МКМ-480 и К-1020С.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8.8 Перечень приборов для проведения измерений и испытаний электрических параметров кабельных линий передачи приведен в Приложении Г. </w:t>
      </w:r>
    </w:p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Приложение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А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</w:t>
      </w:r>
      <w:r w:rsidRPr="000E730F">
        <w:rPr>
          <w:rFonts w:ascii="Verdana" w:eastAsia="Times New Roman" w:hAnsi="Verdana" w:cs="Times New Roman"/>
          <w:lang w:eastAsia="ru-RU"/>
        </w:rPr>
        <w:br/>
        <w:t xml:space="preserve">(информационное) </w:t>
      </w:r>
      <w:r w:rsidRPr="000E730F">
        <w:rPr>
          <w:rFonts w:ascii="Verdana" w:eastAsia="Times New Roman" w:hAnsi="Verdana" w:cs="Times New Roman"/>
          <w:lang w:eastAsia="ru-RU"/>
        </w:rPr>
        <w:br/>
        <w:t xml:space="preserve">Электрические характеристики коаксиальных и симметричных кабелей связи. </w:t>
      </w:r>
      <w:r w:rsidRPr="000E730F">
        <w:rPr>
          <w:rFonts w:ascii="Verdana" w:eastAsia="Times New Roman" w:hAnsi="Verdana" w:cs="Times New Roman"/>
          <w:lang w:eastAsia="ru-RU"/>
        </w:rPr>
        <w:br/>
      </w:r>
      <w:r w:rsidRPr="000E730F">
        <w:rPr>
          <w:rFonts w:ascii="Verdana" w:eastAsia="Times New Roman" w:hAnsi="Verdana" w:cs="Times New Roman"/>
          <w:u w:val="single"/>
          <w:lang w:eastAsia="ru-RU"/>
        </w:rPr>
        <w:t xml:space="preserve">Таблица А.1 </w:t>
      </w:r>
      <w:r w:rsidRPr="000E730F">
        <w:rPr>
          <w:rFonts w:ascii="Verdana" w:eastAsia="Times New Roman" w:hAnsi="Verdana" w:cs="Times New Roman"/>
          <w:lang w:eastAsia="ru-RU"/>
        </w:rPr>
        <w:t xml:space="preserve">- Электрические характеристики коаксиальных кабелей связи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"/>
        <w:gridCol w:w="6561"/>
        <w:gridCol w:w="1190"/>
      </w:tblGrid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Значение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при 20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°С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, Ом/км, не более: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внутреннего проводника коаксиальной пары (КП):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типа 2,6/9,4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3,7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КП типа 1,2/4,6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15,85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внешнего проводника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КП типа 2,6/9,4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2,5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Ю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типа 1,2/4,6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8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шлейфа КП кабеля ВКПАЛ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6,65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при 20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°С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шлейфа симметричной рабочей пары из жил. Ом/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км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, не более: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с диаметром 0,9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57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с диаметром 0,7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Разность электрических сопротивлений жил в 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симметричной рабочей паре. Ом, не более (Z-длина ЭКУ, км; d-диаметр жилы, мм)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u w:val="single"/>
                <w:lang w:eastAsia="ru-RU"/>
              </w:rPr>
              <w:lastRenderedPageBreak/>
              <w:t>0,4r?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d</w:t>
            </w:r>
            <w:r w:rsidRPr="000E730F">
              <w:rPr>
                <w:rFonts w:ascii="Verdana" w:eastAsia="Times New Roman" w:hAnsi="Verdana" w:cs="Times New Roman"/>
                <w:vertAlign w:val="superscript"/>
                <w:lang w:eastAsia="ru-RU"/>
              </w:rPr>
              <w:t>2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алюминиевой оболочки кабеля. Ом/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км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, не более: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КМА-4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0,25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МКТА-4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0,5</w:t>
            </w: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u w:val="single"/>
          <w:lang w:eastAsia="ru-RU"/>
        </w:rPr>
        <w:t>Таблица А.2</w:t>
      </w:r>
      <w:r w:rsidRPr="000E730F">
        <w:rPr>
          <w:rFonts w:ascii="Verdana" w:eastAsia="Times New Roman" w:hAnsi="Verdana" w:cs="Times New Roman"/>
          <w:lang w:eastAsia="ru-RU"/>
        </w:rPr>
        <w:t xml:space="preserve"> - Электрические характеристики симметричных ВЧ кабелей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0"/>
        <w:gridCol w:w="4214"/>
        <w:gridCol w:w="1190"/>
      </w:tblGrid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Значение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1Электрическое сопротивление шлейфа жил (диаметра 1,2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глм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) основной цепи при 20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°С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, Ом/км, не более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32,0</w:t>
            </w:r>
          </w:p>
        </w:tc>
        <w:tc>
          <w:tcPr>
            <w:tcW w:w="0" w:type="auto"/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Разность электрических сопротивлений жил (диаметром 1,2 мм) основной цепи. Ом, 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0,16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алюминиевой оболочки кабеля, Ом/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км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, не более: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МКСА 4х4х1,2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0,55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МКСА 7х4х1,2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0,25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Затухание ЭКУ системы передачи К-1020С при температуре 8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°С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>, дБ, не более: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 частоте 650 кГц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13,0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 частоте 4224 кГц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36,5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(Температурный коэффициент затухания для кабелей МКС равен 0,00198, МКСА - 0,00205,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МКССт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-0,00202 1/град)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Переходное затухание на ближнем конце между цепями четырех или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семичетверочных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кабелей одного направления передачи на частоте 4224 кГц, дБ,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80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Переходное затухание между цепями четырех и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семичетверочных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кабелей одного направления передачи на ЭКУ системы передачи ИКМ-120, оборудованные запирающими катушками (фильтрами), на частоте 4224 кГц, дБ,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Электрическое сопротивление изоляции поливинилхлоридного шлангового покрова кабеля 8KB между экраном и землей, к0м*км,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50</w:t>
            </w: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Приложение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Б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</w:t>
      </w:r>
      <w:r w:rsidRPr="000E730F">
        <w:rPr>
          <w:rFonts w:ascii="Verdana" w:eastAsia="Times New Roman" w:hAnsi="Verdana" w:cs="Times New Roman"/>
          <w:lang w:eastAsia="ru-RU"/>
        </w:rPr>
        <w:br/>
        <w:t xml:space="preserve">(информационное) </w:t>
      </w:r>
      <w:r w:rsidRPr="000E730F">
        <w:rPr>
          <w:rFonts w:ascii="Verdana" w:eastAsia="Times New Roman" w:hAnsi="Verdana" w:cs="Times New Roman"/>
          <w:lang w:eastAsia="ru-RU"/>
        </w:rPr>
        <w:br/>
        <w:t xml:space="preserve">Системы передачи по коаксиальным и симметричным кабелям связи </w:t>
      </w:r>
      <w:r w:rsidRPr="000E730F">
        <w:rPr>
          <w:rFonts w:ascii="Verdana" w:eastAsia="Times New Roman" w:hAnsi="Verdana" w:cs="Times New Roman"/>
          <w:lang w:eastAsia="ru-RU"/>
        </w:rPr>
        <w:br/>
      </w:r>
      <w:r w:rsidRPr="000E730F">
        <w:rPr>
          <w:rFonts w:ascii="Verdana" w:eastAsia="Times New Roman" w:hAnsi="Verdana" w:cs="Times New Roman"/>
          <w:u w:val="single"/>
          <w:lang w:eastAsia="ru-RU"/>
        </w:rPr>
        <w:t>Таблица Б.1</w:t>
      </w:r>
      <w:r w:rsidRPr="000E730F">
        <w:rPr>
          <w:rFonts w:ascii="Verdana" w:eastAsia="Times New Roman" w:hAnsi="Verdana" w:cs="Times New Roman"/>
          <w:lang w:eastAsia="ru-RU"/>
        </w:rPr>
        <w:t xml:space="preserve"> - Системы передачи по коаксиальным кабелям связи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0"/>
        <w:gridCol w:w="3429"/>
        <w:gridCol w:w="2525"/>
      </w:tblGrid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Система 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Диапазон частот, скорость 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Тип коаксиальной пары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К-120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60 - 1304 кГц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2,1/9,7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К-300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60 - 1364 кГц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1,2/4,6 (1,2/4,4)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К-420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0,3 - 4,6 МГц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2,1/9,7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К-1920П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0,3 - 8,5 МГц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2,6/9,4 (2,6/9,5)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К-3600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К-5400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К-10800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VLT-1920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0,8-17,6 МГц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4,3-31,0 МГц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4,3-59,7 МГц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0,3-8,5 МГц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2,6/9,4 (2,6/9,5)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БК-300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БК-960-2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MKM-480 (LS 34 СХ)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МКМ-480Х2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60 - 1364 кГц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60 - 4287 кГц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34,368 Мбит/с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51,480 Мбит/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1,2/4,6 (1,2/4,4)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ИКМ-1920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139,264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МОит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2,6/9,4 (2,6/9,5)</w:t>
            </w: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u w:val="single"/>
          <w:lang w:eastAsia="ru-RU"/>
        </w:rPr>
        <w:t xml:space="preserve">Таблица Б. 2 </w:t>
      </w:r>
      <w:r w:rsidRPr="000E730F">
        <w:rPr>
          <w:rFonts w:ascii="Verdana" w:eastAsia="Times New Roman" w:hAnsi="Verdana" w:cs="Times New Roman"/>
          <w:lang w:eastAsia="ru-RU"/>
        </w:rPr>
        <w:t>- Системы передачи по ВЧ симметричным кабелям связи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1"/>
        <w:gridCol w:w="4203"/>
      </w:tblGrid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Система 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Диапазон частот, скорость передачи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К-12+12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К-60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VLT-120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К-1020С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МКМ-120 (МКМ-120А, МКМ-120у)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МКМ-480 (LS 34 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12-120 кГц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12-252 кГц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12-552 кГц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312-4636 кГц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8448 кбит/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c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34368 кбит/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c</w:t>
            </w:r>
            <w:proofErr w:type="spellEnd"/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Примечание - Под обозначением К-60 следует понимать системы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передачи: K-60, К-60П, К-60П-4, К-60П-4М, V-60, V-60S, V-60E</w:t>
            </w: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Приложение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В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</w:t>
      </w:r>
      <w:r w:rsidRPr="000E730F">
        <w:rPr>
          <w:rFonts w:ascii="Verdana" w:eastAsia="Times New Roman" w:hAnsi="Verdana" w:cs="Times New Roman"/>
          <w:lang w:eastAsia="ru-RU"/>
        </w:rPr>
        <w:br/>
        <w:t xml:space="preserve">(информационное) </w:t>
      </w:r>
      <w:r w:rsidRPr="000E730F">
        <w:rPr>
          <w:rFonts w:ascii="Verdana" w:eastAsia="Times New Roman" w:hAnsi="Verdana" w:cs="Times New Roman"/>
          <w:lang w:eastAsia="ru-RU"/>
        </w:rPr>
        <w:br/>
        <w:t xml:space="preserve">Технические данные катушек индуктивности, устанавливаемых </w:t>
      </w:r>
      <w:r w:rsidRPr="000E730F">
        <w:rPr>
          <w:rFonts w:ascii="Verdana" w:eastAsia="Times New Roman" w:hAnsi="Verdana" w:cs="Times New Roman"/>
          <w:lang w:eastAsia="ru-RU"/>
        </w:rPr>
        <w:lastRenderedPageBreak/>
        <w:t xml:space="preserve">в цепи симметричных кабелей связи. </w:t>
      </w:r>
      <w:r w:rsidRPr="000E730F">
        <w:rPr>
          <w:rFonts w:ascii="Verdana" w:eastAsia="Times New Roman" w:hAnsi="Verdana" w:cs="Times New Roman"/>
          <w:lang w:eastAsia="ru-RU"/>
        </w:rPr>
        <w:br/>
      </w:r>
      <w:r w:rsidRPr="000E730F">
        <w:rPr>
          <w:rFonts w:ascii="Verdana" w:eastAsia="Times New Roman" w:hAnsi="Verdana" w:cs="Times New Roman"/>
          <w:u w:val="single"/>
          <w:lang w:eastAsia="ru-RU"/>
        </w:rPr>
        <w:t>Таблица В.1</w:t>
      </w:r>
      <w:r w:rsidRPr="000E730F">
        <w:rPr>
          <w:rFonts w:ascii="Verdana" w:eastAsia="Times New Roman" w:hAnsi="Verdana" w:cs="Times New Roman"/>
          <w:lang w:eastAsia="ru-RU"/>
        </w:rPr>
        <w:t xml:space="preserve"> - Технические данные катушек индуктивности,</w:t>
      </w:r>
      <w:r w:rsidRPr="000E730F">
        <w:rPr>
          <w:rFonts w:ascii="Verdana" w:eastAsia="Times New Roman" w:hAnsi="Verdana" w:cs="Times New Roman"/>
          <w:lang w:eastAsia="ru-RU"/>
        </w:rPr>
        <w:br/>
        <w:t xml:space="preserve">устанавливаемых в цепи симметричных кабелей связи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"/>
        <w:gridCol w:w="1790"/>
        <w:gridCol w:w="1058"/>
        <w:gridCol w:w="1117"/>
        <w:gridCol w:w="920"/>
        <w:gridCol w:w="960"/>
        <w:gridCol w:w="1233"/>
        <w:gridCol w:w="1333"/>
      </w:tblGrid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Пупинизируемая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пара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Диаметр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 xml:space="preserve">жилы, 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Катушка индуктивности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Номинал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ь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-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ный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шаг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пупини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-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зации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, км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 Марка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Индуктивность,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мГ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Электр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и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-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ческое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сопротив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-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ление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постоян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-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ному току, 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Осно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в-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ной цепи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Искус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т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>-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венной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br/>
              <w:t>цепи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Симметричная пара кабелей типов 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КМ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и КМА в системах передачи: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К-3600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ТЧ-1001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ЭКУ/2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К-1920 и ИКМ-1920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ТЧ-1001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ЭКУ/4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Симметричная пара кабелей типов </w:t>
            </w:r>
            <w:proofErr w:type="gramStart"/>
            <w:r w:rsidRPr="000E730F">
              <w:rPr>
                <w:rFonts w:ascii="Verdana" w:eastAsia="Times New Roman" w:hAnsi="Verdana" w:cs="Times New Roman"/>
                <w:lang w:eastAsia="ru-RU"/>
              </w:rPr>
              <w:t>КМ</w:t>
            </w:r>
            <w:proofErr w:type="gram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и КМА в системе передачи VLT-1920 (ВЛТ-1920)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ТЧ-1001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1,0 или 1,2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Симметричная пара кабелей типа МКТ и ЖТА в системе передачи ВК-960-2 (БК-960-2)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ЭКУ/4</w:t>
            </w: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 xml:space="preserve">Приложение Г </w:t>
      </w:r>
      <w:r w:rsidRPr="000E730F">
        <w:rPr>
          <w:rFonts w:ascii="Verdana" w:eastAsia="Times New Roman" w:hAnsi="Verdana" w:cs="Times New Roman"/>
          <w:lang w:eastAsia="ru-RU"/>
        </w:rPr>
        <w:br/>
        <w:t>(информационное)</w:t>
      </w:r>
      <w:r w:rsidRPr="000E730F">
        <w:rPr>
          <w:rFonts w:ascii="Verdana" w:eastAsia="Times New Roman" w:hAnsi="Verdana" w:cs="Times New Roman"/>
          <w:lang w:eastAsia="ru-RU"/>
        </w:rPr>
        <w:br/>
        <w:t xml:space="preserve">Перечень приборов для проверки и испытания параметров кабельных линий передачи. </w:t>
      </w:r>
      <w:r w:rsidRPr="000E730F">
        <w:rPr>
          <w:rFonts w:ascii="Verdana" w:eastAsia="Times New Roman" w:hAnsi="Verdana" w:cs="Times New Roman"/>
          <w:lang w:eastAsia="ru-RU"/>
        </w:rPr>
        <w:br/>
      </w:r>
      <w:r w:rsidRPr="000E730F">
        <w:rPr>
          <w:rFonts w:ascii="Verdana" w:eastAsia="Times New Roman" w:hAnsi="Verdana" w:cs="Times New Roman"/>
          <w:u w:val="single"/>
          <w:lang w:eastAsia="ru-RU"/>
        </w:rPr>
        <w:t>Таблица Г.1</w:t>
      </w:r>
      <w:r w:rsidRPr="000E730F">
        <w:rPr>
          <w:rFonts w:ascii="Verdana" w:eastAsia="Times New Roman" w:hAnsi="Verdana" w:cs="Times New Roman"/>
          <w:lang w:eastAsia="ru-RU"/>
        </w:rPr>
        <w:t xml:space="preserve"> </w:t>
      </w:r>
    </w:p>
    <w:tbl>
      <w:tblPr>
        <w:tblW w:w="4000" w:type="pct"/>
        <w:tblCellSpacing w:w="1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"/>
        <w:gridCol w:w="3437"/>
        <w:gridCol w:w="4352"/>
      </w:tblGrid>
      <w:tr w:rsidR="000E730F" w:rsidRPr="000E730F" w:rsidTr="000E73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Наименование прибора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Назначение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Прибор кабельный переносной ПКП-5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Измерение электрических параметров кабелей связи и определение расстояния до мест повреждений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Источник напряжения постоянного тока ПЧ110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Испытание и тренировка электрическим напряжением изоляции симметричных и </w:t>
            </w: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коаксиальных кабелей связи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Измеритель параметров кабельных линий, модернизированный ИПКЛ-М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Измерение </w:t>
            </w:r>
            <w:proofErr w:type="spellStart"/>
            <w:r w:rsidRPr="000E730F">
              <w:rPr>
                <w:rFonts w:ascii="Verdana" w:eastAsia="Times New Roman" w:hAnsi="Verdana" w:cs="Times New Roman"/>
                <w:lang w:eastAsia="ru-RU"/>
              </w:rPr>
              <w:t>элетрических</w:t>
            </w:r>
            <w:proofErr w:type="spellEnd"/>
            <w:r w:rsidRPr="000E730F">
              <w:rPr>
                <w:rFonts w:ascii="Verdana" w:eastAsia="Times New Roman" w:hAnsi="Verdana" w:cs="Times New Roman"/>
                <w:lang w:eastAsia="ru-RU"/>
              </w:rPr>
              <w:t xml:space="preserve"> параметров затухания, переходного затухания и защищенности симметричных цепей кабелей на частотах 512 и 1024 кГц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Измеритель затухания кабельных линий ИЗКЛ-120А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Измерение затухания, переходного затухания и защищенности симметричных цепей кабелей на частоте 8448кГц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Измеритель затухания кабельных линий ИЗКЛ-ЗС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Измерение затухания, переходного затухания и защищенности симметричных цепей кабелей на частоте 17184 кГц</w:t>
            </w:r>
          </w:p>
        </w:tc>
      </w:tr>
      <w:tr w:rsidR="000E730F" w:rsidRPr="000E730F" w:rsidTr="000E730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Визуальный измеритель затухания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30F" w:rsidRPr="000E730F" w:rsidRDefault="000E730F" w:rsidP="000E730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E730F">
              <w:rPr>
                <w:rFonts w:ascii="Verdana" w:eastAsia="Times New Roman" w:hAnsi="Verdana" w:cs="Times New Roman"/>
                <w:lang w:eastAsia="ru-RU"/>
              </w:rPr>
              <w:t>Измерение переходного затухания между цепями ВЧ симметричных кабелей в диапазоне частот до 250 кГц</w:t>
            </w:r>
          </w:p>
        </w:tc>
      </w:tr>
    </w:tbl>
    <w:p w:rsidR="000E730F" w:rsidRPr="000E730F" w:rsidRDefault="000E730F" w:rsidP="000E730F">
      <w:pPr>
        <w:shd w:val="clear" w:color="auto" w:fill="FFFFFF"/>
        <w:spacing w:before="402" w:after="100" w:afterAutospacing="1" w:line="240" w:lineRule="auto"/>
        <w:ind w:left="1225" w:right="1225" w:firstLine="612"/>
        <w:jc w:val="both"/>
        <w:rPr>
          <w:rFonts w:ascii="Verdana" w:eastAsia="Times New Roman" w:hAnsi="Verdana" w:cs="Times New Roman"/>
          <w:lang w:eastAsia="ru-RU"/>
        </w:rPr>
      </w:pPr>
      <w:r w:rsidRPr="000E730F">
        <w:rPr>
          <w:rFonts w:ascii="Verdana" w:eastAsia="Times New Roman" w:hAnsi="Verdana" w:cs="Times New Roman"/>
          <w:lang w:eastAsia="ru-RU"/>
        </w:rPr>
        <w:t>Приложение</w:t>
      </w:r>
      <w:proofErr w:type="gramStart"/>
      <w:r w:rsidRPr="000E730F">
        <w:rPr>
          <w:rFonts w:ascii="Verdana" w:eastAsia="Times New Roman" w:hAnsi="Verdana" w:cs="Times New Roman"/>
          <w:lang w:eastAsia="ru-RU"/>
        </w:rPr>
        <w:t xml:space="preserve"> Д</w:t>
      </w:r>
      <w:proofErr w:type="gramEnd"/>
      <w:r w:rsidRPr="000E730F">
        <w:rPr>
          <w:rFonts w:ascii="Verdana" w:eastAsia="Times New Roman" w:hAnsi="Verdana" w:cs="Times New Roman"/>
          <w:lang w:eastAsia="ru-RU"/>
        </w:rPr>
        <w:t xml:space="preserve"> </w:t>
      </w:r>
    </w:p>
    <w:p w:rsidR="00023F51" w:rsidRDefault="00023F51" w:rsidP="000E730F">
      <w:pPr>
        <w:ind w:left="-1134" w:firstLine="1134"/>
      </w:pPr>
    </w:p>
    <w:sectPr w:rsidR="00023F51" w:rsidSect="000E730F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730F"/>
    <w:rsid w:val="00023F51"/>
    <w:rsid w:val="000E730F"/>
    <w:rsid w:val="001E2C03"/>
    <w:rsid w:val="009156A5"/>
    <w:rsid w:val="00DC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paragraph" w:styleId="2">
    <w:name w:val="heading 2"/>
    <w:basedOn w:val="a"/>
    <w:link w:val="20"/>
    <w:uiPriority w:val="9"/>
    <w:qFormat/>
    <w:rsid w:val="000E730F"/>
    <w:pPr>
      <w:spacing w:before="100" w:beforeAutospacing="1" w:after="100" w:afterAutospacing="1" w:line="240" w:lineRule="auto"/>
      <w:ind w:left="979" w:right="979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5">
    <w:name w:val="heading 5"/>
    <w:basedOn w:val="a"/>
    <w:link w:val="50"/>
    <w:uiPriority w:val="9"/>
    <w:qFormat/>
    <w:rsid w:val="000E730F"/>
    <w:pPr>
      <w:spacing w:before="100" w:beforeAutospacing="1" w:after="100" w:afterAutospacing="1" w:line="240" w:lineRule="auto"/>
      <w:ind w:left="2448" w:right="2448"/>
      <w:jc w:val="center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30F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E730F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8362">
              <w:marLeft w:val="1"/>
              <w:marRight w:val="1"/>
              <w:marTop w:val="1"/>
              <w:marBottom w:val="1"/>
              <w:divBdr>
                <w:top w:val="single" w:sz="6" w:space="0" w:color="0000FF"/>
                <w:left w:val="single" w:sz="6" w:space="0" w:color="0000FF"/>
                <w:bottom w:val="single" w:sz="6" w:space="0" w:color="0000FF"/>
                <w:right w:val="single" w:sz="6" w:space="0" w:color="0000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4232</Words>
  <Characters>24127</Characters>
  <Application>Microsoft Office Word</Application>
  <DocSecurity>0</DocSecurity>
  <Lines>201</Lines>
  <Paragraphs>56</Paragraphs>
  <ScaleCrop>false</ScaleCrop>
  <Company>ЗАО "Энвижн Груп"</Company>
  <LinksUpToDate>false</LinksUpToDate>
  <CharactersWithSpaces>28303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2</cp:revision>
  <dcterms:created xsi:type="dcterms:W3CDTF">2011-02-17T11:17:00Z</dcterms:created>
  <dcterms:modified xsi:type="dcterms:W3CDTF">2011-02-17T11:19:00Z</dcterms:modified>
</cp:coreProperties>
</file>