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083C">
      <w:pPr>
        <w:shd w:val="clear" w:color="auto" w:fill="FFFFFF"/>
        <w:spacing w:after="120"/>
        <w:jc w:val="center"/>
        <w:rPr>
          <w:sz w:val="24"/>
          <w:szCs w:val="24"/>
        </w:rPr>
      </w:pPr>
      <w:r>
        <w:rPr>
          <w:b/>
          <w:bCs/>
          <w:sz w:val="24"/>
          <w:szCs w:val="26"/>
        </w:rPr>
        <w:t xml:space="preserve">ФЕДЕРАЛЬНОЕ АГЕНТСТВО ПО СТРОИТЕЛЬСТВУ И ЖИЛИЩНО-КОММУНАЛЬНОМУ ХОЗЯЙСТВУ </w:t>
      </w:r>
      <w:r>
        <w:rPr>
          <w:b/>
          <w:bCs/>
          <w:sz w:val="24"/>
          <w:szCs w:val="24"/>
        </w:rPr>
        <w:t>И ДРУГИЕ СПЕЦИАЛЬНЫЕ СООРУЖЕНИЯ</w:t>
      </w:r>
    </w:p>
    <w:p w:rsidR="00000000" w:rsidRDefault="009C083C">
      <w:pPr>
        <w:pStyle w:val="a6"/>
        <w:spacing w:before="120" w:after="120"/>
      </w:pPr>
      <w:r>
        <w:t>СПРАВОЧНИК БАЗОВЫХ ЦЕН НА ПРОЕКТНЫЕ РАБОТЫ ДЛЯ СТРОИТЕЛЬСТВА</w:t>
      </w:r>
    </w:p>
    <w:p w:rsidR="00000000" w:rsidRDefault="009C083C">
      <w:pPr>
        <w:pStyle w:val="a6"/>
        <w:spacing w:after="120"/>
        <w:rPr>
          <w:szCs w:val="24"/>
        </w:rPr>
      </w:pPr>
      <w:r>
        <w:t xml:space="preserve">Инженерно-технические </w:t>
      </w:r>
      <w:r>
        <w:t>мероприятия гражданской обороны. Мероприятия по предупреждению чрезвычайных ситуаций. Защитные сооружения гражданской обороны и другие специальные сооружения</w:t>
      </w:r>
    </w:p>
    <w:p w:rsidR="00000000" w:rsidRDefault="009C083C">
      <w:pPr>
        <w:pStyle w:val="a8"/>
        <w:rPr>
          <w:szCs w:val="24"/>
        </w:rPr>
      </w:pPr>
      <w:r>
        <w:t>РАЗРАБОТАН ФГУП "ЦЕНТРИНВЕСТпроект" (Пулико В.И., Туренская М.А., Шелухина О.В.) совместно с ГУП "</w:t>
      </w:r>
      <w:r>
        <w:t>ЭкИнЦ" (Белов В.В.), ГУП "Моспромпроект" (Виноградов Н.И., Григорьев Р.Д., Бунина Ю.З.), ГЭП МЧС России (Алешин Ю.В.), ФГУП "31 ГПИ СС МО РФ" (Климов А.М., Силина М.И.).</w:t>
      </w:r>
    </w:p>
    <w:p w:rsidR="00000000" w:rsidRDefault="009C083C">
      <w:pPr>
        <w:pStyle w:val="a8"/>
        <w:rPr>
          <w:szCs w:val="24"/>
        </w:rPr>
      </w:pPr>
      <w:r>
        <w:t>РАССМОТРЕН Управлением строительных программ Федерального агентства по строительству и</w:t>
      </w:r>
      <w:r>
        <w:t xml:space="preserve"> жилищно-коммунальному хозяйству (Росстрой).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ВНЕСЕН Управлением строительных программ Федерального агентства по строительству и жилищно-коммунальному хозяйству (Росстрой).</w:t>
      </w:r>
    </w:p>
    <w:p w:rsidR="00000000" w:rsidRDefault="009C083C">
      <w:pPr>
        <w:pStyle w:val="a8"/>
        <w:rPr>
          <w:szCs w:val="24"/>
        </w:rPr>
      </w:pPr>
      <w:r>
        <w:t>ПРИНЯТ И ВВЕДЕН В ДЕЙСТВИЕ с 16 января 2006 г. Федеральным агентством по строительст</w:t>
      </w:r>
      <w:r>
        <w:t>ву и жилищно-коммунальному хозяйству (Росстрой) письмом от 12 января 2006 г. № СК-31/02 по согласованию с МЧС России от 2 июля 2004 г. № 43-2145.</w:t>
      </w:r>
    </w:p>
    <w:p w:rsidR="00000000" w:rsidRDefault="009C083C">
      <w:pPr>
        <w:pStyle w:val="a8"/>
        <w:rPr>
          <w:szCs w:val="24"/>
        </w:rPr>
      </w:pPr>
      <w:r>
        <w:t>ВЗАМЕН раздела 59 "Защитные сооружения гражданской обороны" Сборника цен на проектные работы для строительства</w:t>
      </w:r>
      <w:r>
        <w:t xml:space="preserve"> изд. 1987 г. с изменениями и дополнениями 1988-90 гг.</w:t>
      </w:r>
    </w:p>
    <w:p w:rsidR="00000000" w:rsidRDefault="009C083C">
      <w:pPr>
        <w:spacing w:before="120" w:after="120"/>
        <w:jc w:val="center"/>
      </w:pPr>
      <w:r>
        <w:rPr>
          <w:b/>
          <w:bCs/>
          <w:sz w:val="24"/>
        </w:rPr>
        <w:t>Содержание</w:t>
      </w:r>
    </w:p>
    <w:tbl>
      <w:tblPr>
        <w:tblW w:w="0" w:type="auto"/>
        <w:jc w:val="center"/>
        <w:tblLook w:val="04A0"/>
      </w:tblPr>
      <w:tblGrid>
        <w:gridCol w:w="9857"/>
      </w:tblGrid>
      <w:tr w:rsidR="00000000">
        <w:trPr>
          <w:jc w:val="center"/>
        </w:trPr>
        <w:tc>
          <w:tcPr>
            <w:tcW w:w="9857" w:type="dxa"/>
            <w:hideMark/>
          </w:tcPr>
          <w:p w:rsidR="00000000" w:rsidRDefault="009C083C">
            <w:pPr>
              <w:pStyle w:val="11"/>
              <w:tabs>
                <w:tab w:val="right" w:leader="dot" w:pos="9631"/>
              </w:tabs>
              <w:ind w:firstLine="284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fldChar w:fldCharType="begin"/>
            </w:r>
            <w:r>
              <w:rPr>
                <w:b/>
                <w:bCs/>
                <w:color w:val="000000"/>
                <w:sz w:val="24"/>
                <w:szCs w:val="28"/>
              </w:rPr>
              <w:instrText xml:space="preserve"> TOC \o "1-3" \n \p " " \h \z </w:instrText>
            </w:r>
            <w:r>
              <w:rPr>
                <w:b/>
                <w:bCs/>
                <w:color w:val="000000"/>
                <w:sz w:val="24"/>
                <w:szCs w:val="28"/>
              </w:rPr>
              <w:fldChar w:fldCharType="separate"/>
            </w:r>
            <w:hyperlink w:anchor="_Toc129164733" w:history="1">
              <w:r>
                <w:rPr>
                  <w:rStyle w:val="a3"/>
                  <w:sz w:val="24"/>
                </w:rPr>
                <w:t>1 ОСНОВНЫЕ ПОЛОЖЕНИЯ</w:t>
              </w:r>
            </w:hyperlink>
          </w:p>
          <w:p w:rsidR="00000000" w:rsidRDefault="009C083C">
            <w:pPr>
              <w:pStyle w:val="11"/>
              <w:tabs>
                <w:tab w:val="right" w:leader="dot" w:pos="9631"/>
              </w:tabs>
              <w:ind w:firstLine="284"/>
              <w:rPr>
                <w:sz w:val="24"/>
                <w:szCs w:val="24"/>
              </w:rPr>
            </w:pPr>
            <w:hyperlink w:anchor="_Toc129164734" w:history="1">
              <w:r>
                <w:rPr>
                  <w:rStyle w:val="a3"/>
                  <w:sz w:val="24"/>
                </w:rPr>
                <w:t>2 БАЗОВЫЕ ЦЕНЫ НА РАЗРАБОТКУ ПРОЕКТНОЙ ДОКУМЕНТАЦИИ</w:t>
              </w:r>
            </w:hyperlink>
          </w:p>
          <w:p w:rsidR="00000000" w:rsidRDefault="009C083C">
            <w:pPr>
              <w:pStyle w:val="2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35" w:history="1">
              <w:r>
                <w:rPr>
                  <w:rStyle w:val="a3"/>
                  <w:sz w:val="24"/>
                </w:rPr>
                <w:t>Глава 1 Инженерно-технические мероприятия гражданской обороны. Мероприятия по предупреждению чрезвычайных ситуаций проектов строительства объектов без защитных сооружений гражданской обороны и других специальных сооружений</w:t>
              </w:r>
            </w:hyperlink>
          </w:p>
          <w:p w:rsidR="00000000" w:rsidRDefault="009C083C">
            <w:pPr>
              <w:pStyle w:val="3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36" w:history="1">
              <w:r>
                <w:rPr>
                  <w:rStyle w:val="a3"/>
                  <w:sz w:val="24"/>
                </w:rPr>
                <w:t>Таблица 1</w:t>
              </w:r>
            </w:hyperlink>
            <w:r>
              <w:rPr>
                <w:rStyle w:val="a3"/>
                <w:sz w:val="24"/>
              </w:rPr>
              <w:t xml:space="preserve"> </w:t>
            </w:r>
            <w:hyperlink w:anchor="_Toc129164737" w:history="1">
              <w:r>
                <w:rPr>
                  <w:rStyle w:val="a3"/>
                  <w:sz w:val="24"/>
                </w:rPr>
                <w:t>Коэффициенты, учитывающие количество источников возможных ЧС</w:t>
              </w:r>
            </w:hyperlink>
          </w:p>
          <w:p w:rsidR="00000000" w:rsidRDefault="009C083C">
            <w:pPr>
              <w:pStyle w:val="3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38" w:history="1">
              <w:r>
                <w:rPr>
                  <w:rStyle w:val="a3"/>
                  <w:sz w:val="24"/>
                </w:rPr>
                <w:t>Таблица 2</w:t>
              </w:r>
            </w:hyperlink>
            <w:r>
              <w:rPr>
                <w:rStyle w:val="a3"/>
                <w:sz w:val="24"/>
              </w:rPr>
              <w:t xml:space="preserve"> </w:t>
            </w:r>
            <w:hyperlink w:anchor="_Toc129164739" w:history="1">
              <w:r>
                <w:rPr>
                  <w:rStyle w:val="a3"/>
                  <w:sz w:val="24"/>
                </w:rPr>
                <w:t>Коэффициенты, учитывающие катег</w:t>
              </w:r>
              <w:r>
                <w:rPr>
                  <w:rStyle w:val="a3"/>
                  <w:sz w:val="24"/>
                </w:rPr>
                <w:t>орию сложности проектируемого объекта</w:t>
              </w:r>
            </w:hyperlink>
          </w:p>
          <w:p w:rsidR="00000000" w:rsidRDefault="009C083C">
            <w:pPr>
              <w:pStyle w:val="3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40" w:history="1">
              <w:r>
                <w:rPr>
                  <w:rStyle w:val="a3"/>
                  <w:sz w:val="24"/>
                </w:rPr>
                <w:t>Таблица 3</w:t>
              </w:r>
            </w:hyperlink>
            <w:r>
              <w:rPr>
                <w:rStyle w:val="a3"/>
                <w:sz w:val="24"/>
              </w:rPr>
              <w:t xml:space="preserve"> </w:t>
            </w:r>
            <w:hyperlink w:anchor="_Toc129164741" w:history="1">
              <w:r>
                <w:rPr>
                  <w:rStyle w:val="a3"/>
                  <w:sz w:val="24"/>
                </w:rPr>
                <w:t>Показатели для определения категории сложности</w:t>
              </w:r>
            </w:hyperlink>
          </w:p>
          <w:p w:rsidR="00000000" w:rsidRDefault="009C083C">
            <w:pPr>
              <w:pStyle w:val="3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42" w:history="1">
              <w:r>
                <w:rPr>
                  <w:rStyle w:val="a3"/>
                  <w:sz w:val="24"/>
                </w:rPr>
                <w:t>Таблица 4</w:t>
              </w:r>
            </w:hyperlink>
            <w:r>
              <w:rPr>
                <w:rStyle w:val="a3"/>
                <w:sz w:val="24"/>
              </w:rPr>
              <w:t xml:space="preserve"> </w:t>
            </w:r>
            <w:hyperlink w:anchor="_Toc129164743" w:history="1">
              <w:r>
                <w:rPr>
                  <w:rStyle w:val="a3"/>
                  <w:sz w:val="24"/>
                </w:rPr>
                <w:t>Коэффициенты, учитывающие однотипность решений по предупреждению ЧС для различных источников ЧС с одинаковыми поражающими факторами</w:t>
              </w:r>
            </w:hyperlink>
          </w:p>
          <w:p w:rsidR="00000000" w:rsidRDefault="009C083C">
            <w:pPr>
              <w:pStyle w:val="2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44" w:history="1">
              <w:r>
                <w:rPr>
                  <w:rStyle w:val="a3"/>
                  <w:sz w:val="24"/>
                </w:rPr>
                <w:t>Глава 2 Защитные сооружения гражданской обороны и другие специальные сооружения</w:t>
              </w:r>
            </w:hyperlink>
          </w:p>
          <w:p w:rsidR="00000000" w:rsidRDefault="009C083C">
            <w:pPr>
              <w:pStyle w:val="3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45" w:history="1">
              <w:r>
                <w:rPr>
                  <w:rStyle w:val="a3"/>
                  <w:sz w:val="24"/>
                </w:rPr>
                <w:t>Таблица 5</w:t>
              </w:r>
            </w:hyperlink>
            <w:r>
              <w:rPr>
                <w:rStyle w:val="a3"/>
                <w:sz w:val="24"/>
              </w:rPr>
              <w:t xml:space="preserve"> </w:t>
            </w:r>
            <w:hyperlink w:anchor="_Toc129164746" w:history="1">
              <w:r>
                <w:rPr>
                  <w:rStyle w:val="a3"/>
                  <w:sz w:val="24"/>
                </w:rPr>
                <w:t>Защитные сооружемыя гражданской обороны</w:t>
              </w:r>
            </w:hyperlink>
          </w:p>
          <w:p w:rsidR="00000000" w:rsidRDefault="009C083C">
            <w:pPr>
              <w:pStyle w:val="3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47" w:history="1">
              <w:r>
                <w:rPr>
                  <w:rStyle w:val="a3"/>
                  <w:sz w:val="24"/>
                </w:rPr>
                <w:t>Таблица 6</w:t>
              </w:r>
            </w:hyperlink>
            <w:r>
              <w:rPr>
                <w:rStyle w:val="a3"/>
                <w:sz w:val="24"/>
              </w:rPr>
              <w:t xml:space="preserve"> </w:t>
            </w:r>
            <w:hyperlink w:anchor="_Toc129164748" w:history="1">
              <w:r>
                <w:rPr>
                  <w:rStyle w:val="a3"/>
                  <w:sz w:val="24"/>
                </w:rPr>
                <w:t>Командные пункты и пункты управления</w:t>
              </w:r>
            </w:hyperlink>
          </w:p>
          <w:p w:rsidR="00000000" w:rsidRDefault="009C083C">
            <w:pPr>
              <w:pStyle w:val="3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49" w:history="1">
              <w:r>
                <w:rPr>
                  <w:rStyle w:val="a3"/>
                  <w:sz w:val="24"/>
                </w:rPr>
                <w:t>Таблица 7</w:t>
              </w:r>
            </w:hyperlink>
            <w:r>
              <w:rPr>
                <w:rStyle w:val="a3"/>
                <w:sz w:val="24"/>
              </w:rPr>
              <w:t xml:space="preserve"> </w:t>
            </w:r>
            <w:hyperlink w:anchor="_Toc129164750" w:history="1">
              <w:r>
                <w:rPr>
                  <w:rStyle w:val="a3"/>
                  <w:sz w:val="24"/>
                </w:rPr>
                <w:t>Объекты связи</w:t>
              </w:r>
            </w:hyperlink>
          </w:p>
          <w:p w:rsidR="00000000" w:rsidRDefault="009C083C">
            <w:pPr>
              <w:pStyle w:val="31"/>
              <w:tabs>
                <w:tab w:val="right" w:leader="dot" w:pos="9631"/>
              </w:tabs>
              <w:ind w:left="0" w:firstLine="284"/>
              <w:rPr>
                <w:sz w:val="24"/>
                <w:szCs w:val="24"/>
              </w:rPr>
            </w:pPr>
            <w:hyperlink w:anchor="_Toc129164751" w:history="1">
              <w:r>
                <w:rPr>
                  <w:rStyle w:val="a3"/>
                  <w:sz w:val="24"/>
                </w:rPr>
                <w:t>Таблица 8</w:t>
              </w:r>
            </w:hyperlink>
            <w:r>
              <w:rPr>
                <w:rStyle w:val="a3"/>
                <w:sz w:val="24"/>
              </w:rPr>
              <w:t xml:space="preserve"> </w:t>
            </w:r>
            <w:hyperlink w:anchor="_Toc129164752" w:history="1">
              <w:r>
                <w:rPr>
                  <w:rStyle w:val="a3"/>
                  <w:sz w:val="24"/>
                </w:rPr>
                <w:t>Спецрасчеты строительных конструкций и специальных инженерных систем</w:t>
              </w:r>
            </w:hyperlink>
          </w:p>
          <w:p w:rsidR="00000000" w:rsidRDefault="009C083C">
            <w:pPr>
              <w:pStyle w:val="11"/>
              <w:tabs>
                <w:tab w:val="right" w:leader="dot" w:pos="9631"/>
              </w:tabs>
              <w:ind w:firstLine="284"/>
              <w:rPr>
                <w:sz w:val="24"/>
                <w:szCs w:val="24"/>
              </w:rPr>
            </w:pPr>
            <w:hyperlink w:anchor="_Toc129164753" w:history="1">
              <w:r>
                <w:rPr>
                  <w:rStyle w:val="a3"/>
                  <w:sz w:val="24"/>
                </w:rPr>
                <w:t>3 ТАБЛИЦЫ ОТНОСИТЕЛЬНОЙ СТОИМОСТИ РАЗРАБОТКИ ПРОЕКТНОЙ ДОКУМЕНТАЦИИ</w:t>
              </w:r>
            </w:hyperlink>
          </w:p>
          <w:p w:rsidR="00000000" w:rsidRDefault="009C083C">
            <w:pPr>
              <w:ind w:firstLine="284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fldChar w:fldCharType="end"/>
            </w:r>
          </w:p>
        </w:tc>
      </w:tr>
    </w:tbl>
    <w:p w:rsidR="00000000" w:rsidRDefault="009C083C">
      <w:pPr>
        <w:pStyle w:val="1"/>
        <w:spacing w:before="120" w:after="120"/>
        <w:rPr>
          <w:rFonts w:eastAsia="Times New Roman"/>
          <w:szCs w:val="24"/>
        </w:rPr>
      </w:pPr>
      <w:bookmarkStart w:id="0" w:name="_Toc129164733"/>
      <w:r>
        <w:rPr>
          <w:rFonts w:eastAsia="Times New Roman"/>
        </w:rPr>
        <w:t>1 ОСНОВНЫЕ ПОЛОЖЕНИЯ</w:t>
      </w:r>
      <w:bookmarkEnd w:id="0"/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1.1 Настоящий Справочник базовых цен на проектные работы для строительства (далее именуемый «Справочник») рекомендуется для определения базовых цен с целью послед</w:t>
      </w:r>
      <w:r>
        <w:rPr>
          <w:color w:val="000000"/>
          <w:sz w:val="24"/>
          <w:szCs w:val="28"/>
        </w:rPr>
        <w:t>ующего формирования договорных цен на разработку специального раздела «Инженерно-технические мероприятия гражданской обороны. Мероприятия по предупреждению чрезвычайных ситуаций» (далее - раздел "ИТМ ГОЧС"), а также на разработку проектной документации для</w:t>
      </w:r>
      <w:r>
        <w:rPr>
          <w:color w:val="000000"/>
          <w:sz w:val="24"/>
          <w:szCs w:val="28"/>
        </w:rPr>
        <w:t xml:space="preserve"> строительства защитных сооружений гражданской обороны и других специальных сооружений.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1.2 При пользовании настоящим Справочником следует руководствоваться Общими указаниями по применению Справочников базовых цен на проектные работы для строительства изда</w:t>
      </w:r>
      <w:r>
        <w:rPr>
          <w:color w:val="000000"/>
          <w:sz w:val="24"/>
          <w:szCs w:val="28"/>
        </w:rPr>
        <w:t>ния 2002 г.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lastRenderedPageBreak/>
        <w:t>1.3 Уровень цен, содержащихся в таблицах Справочника, установлен по состоянию на 01.01.2001 г.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1.4 Базовые цены, приведенные в Справочнике, установлены в соответствии с порядком разработки и составом раздела "ИТМ ГОЧС" проектов строительства, р</w:t>
      </w:r>
      <w:r>
        <w:rPr>
          <w:color w:val="000000"/>
          <w:sz w:val="24"/>
          <w:szCs w:val="28"/>
        </w:rPr>
        <w:t xml:space="preserve">екомендованных </w:t>
      </w:r>
      <w:hyperlink r:id="rId4" w:tooltip="Порядок разработки и состава раздела &quot;Инженерно-технические мероприятия гражданской обороны. Мероприятия по предупреждению чрезвычайных ситуаций&quot; проектов строительства" w:history="1">
        <w:r>
          <w:rPr>
            <w:rStyle w:val="a3"/>
            <w:sz w:val="24"/>
            <w:szCs w:val="28"/>
          </w:rPr>
          <w:t>СП 11-107-98</w:t>
        </w:r>
      </w:hyperlink>
      <w:r>
        <w:rPr>
          <w:sz w:val="24"/>
          <w:szCs w:val="28"/>
        </w:rPr>
        <w:t xml:space="preserve"> "</w:t>
      </w:r>
      <w:r>
        <w:rPr>
          <w:sz w:val="24"/>
          <w:szCs w:val="28"/>
        </w:rPr>
        <w:t>Порядок разработки и состав раздела "Инженерно-технические мероприятия</w:t>
      </w:r>
      <w:r>
        <w:rPr>
          <w:color w:val="000000"/>
          <w:sz w:val="24"/>
          <w:szCs w:val="28"/>
        </w:rPr>
        <w:t xml:space="preserve"> гражданской обороны. Мероприятия по предупреждению чрезвычайных ситуаций проекта строительства".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Стоимость проектирования раздела "ИТМ ГОЧС" на других стадиях, выполняемых по поручению </w:t>
      </w:r>
      <w:r>
        <w:rPr>
          <w:color w:val="000000"/>
          <w:sz w:val="24"/>
          <w:szCs w:val="28"/>
        </w:rPr>
        <w:t>заказчика, определяется проектной организацией по согласованию с заказчиком применительно к ценам на стадии "проект" с учетом объема работ.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1.5 Справочник позволяет определять цены на разработку раздела "ИТМ ГОЧС" проектов строительства объектов, как преду</w:t>
      </w:r>
      <w:r>
        <w:rPr>
          <w:color w:val="000000"/>
          <w:sz w:val="24"/>
          <w:szCs w:val="28"/>
        </w:rPr>
        <w:t>сматривающих в своем составе защитные сооружения гражданской обороны (ЗС ГО) и другие специальные сооружения, так и без них.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Базовые цены разработки раздела "ИТМ ГОЧС" без проектирования ЗС ГО и других специальных сооружений рассчитываются в порядке, излож</w:t>
      </w:r>
      <w:r>
        <w:rPr>
          <w:color w:val="000000"/>
          <w:sz w:val="24"/>
          <w:szCs w:val="28"/>
        </w:rPr>
        <w:t xml:space="preserve">енном в </w:t>
      </w:r>
      <w:hyperlink w:anchor="глава_1" w:tooltip="Инженерно-технические мероприятия гражданской обороны. Мероприятия по предупреждению чрезвычайных ситуаций проектов строительства объектов без защитных сооружений гражданской обороны и других специальных сооружений" w:history="1">
        <w:r>
          <w:rPr>
            <w:rStyle w:val="a3"/>
            <w:sz w:val="24"/>
            <w:szCs w:val="28"/>
          </w:rPr>
          <w:t>главе 1</w:t>
        </w:r>
      </w:hyperlink>
      <w:r>
        <w:rPr>
          <w:color w:val="000000"/>
          <w:sz w:val="24"/>
          <w:szCs w:val="28"/>
        </w:rPr>
        <w:t xml:space="preserve"> Справочника.</w:t>
      </w:r>
    </w:p>
    <w:p w:rsidR="00000000" w:rsidRDefault="009C083C">
      <w:pPr>
        <w:pStyle w:val="a8"/>
        <w:rPr>
          <w:szCs w:val="24"/>
        </w:rPr>
      </w:pPr>
      <w:r>
        <w:t>1.6 При расчете цены на разработку раздела "ИТМ ГОЧС" допускается пользоваться, помимо настоящего Справочника, другими Справочниками базовых цен на проектные работы для строительства, содержащими главу "</w:t>
      </w:r>
      <w:r>
        <w:t>Специальные разделы проектной документации для строительства".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1.7 Базовые цены разработки проектной документации на строительство ЗС ГО и других специальных сооружений определяются в порядке, изложенном в </w:t>
      </w:r>
      <w:hyperlink w:anchor="глава_2" w:tooltip="Защитные сооружения гражданской обороны и другие специальные сооружения" w:history="1">
        <w:r>
          <w:rPr>
            <w:rStyle w:val="a3"/>
            <w:sz w:val="24"/>
            <w:szCs w:val="28"/>
          </w:rPr>
          <w:t>главе 2</w:t>
        </w:r>
      </w:hyperlink>
      <w:r>
        <w:rPr>
          <w:color w:val="000000"/>
          <w:sz w:val="24"/>
          <w:szCs w:val="28"/>
        </w:rPr>
        <w:t xml:space="preserve"> Справочника, и установлены в зависимости от натуральных показателей проектируемых объектов: количества укрываемых человек, площади.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Базовая цена разработки раздела "ИТМ ГОЧС" проекта строител</w:t>
      </w:r>
      <w:r>
        <w:rPr>
          <w:color w:val="000000"/>
          <w:sz w:val="24"/>
          <w:szCs w:val="28"/>
        </w:rPr>
        <w:t xml:space="preserve">ьства объекта с ЗС ГО и другими специальными сооружениями определяется как сумма цен по показателям таблиц в </w:t>
      </w:r>
      <w:hyperlink w:anchor="глава_1" w:tooltip="Инженерно-технические мероприятия гражданской обороны. Мероприятия по предупреждению чрезвычайных ситуаций проектов строительства объектов без защитных сооружений гражданской обороны и других специальных сооружений" w:history="1">
        <w:r>
          <w:rPr>
            <w:rStyle w:val="a3"/>
            <w:sz w:val="24"/>
            <w:szCs w:val="28"/>
          </w:rPr>
          <w:t>главах 1</w:t>
        </w:r>
      </w:hyperlink>
      <w:r>
        <w:rPr>
          <w:color w:val="000000"/>
          <w:sz w:val="24"/>
          <w:szCs w:val="28"/>
        </w:rPr>
        <w:t xml:space="preserve">и </w:t>
      </w:r>
      <w:hyperlink w:anchor="глава_2" w:tooltip="Защитные сооружения гражданской обороны и другие специальные сооружения" w:history="1">
        <w:r>
          <w:rPr>
            <w:rStyle w:val="a3"/>
            <w:sz w:val="24"/>
            <w:szCs w:val="28"/>
          </w:rPr>
          <w:t>2</w:t>
        </w:r>
      </w:hyperlink>
      <w:r>
        <w:rPr>
          <w:color w:val="000000"/>
          <w:sz w:val="24"/>
          <w:szCs w:val="28"/>
        </w:rPr>
        <w:t xml:space="preserve"> Справочника.</w:t>
      </w:r>
    </w:p>
    <w:p w:rsidR="00000000" w:rsidRDefault="009C083C">
      <w:pPr>
        <w:pStyle w:val="a8"/>
        <w:rPr>
          <w:szCs w:val="24"/>
        </w:rPr>
      </w:pPr>
      <w:r>
        <w:t>1.8 Базовая цена прое</w:t>
      </w:r>
      <w:r>
        <w:t>ктной документации на реконструкцию и техническое перевооружение определяется по ценам Справочника с коэффициентом до 2,0, устанавливаемым проектной организацией по согласованию с заказчиком в соответствии с трудоемкостью работ.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1.9 Стоимость проектировани</w:t>
      </w:r>
      <w:r>
        <w:rPr>
          <w:color w:val="000000"/>
          <w:sz w:val="24"/>
          <w:szCs w:val="28"/>
        </w:rPr>
        <w:t>я специальных сооружений для защиты территорий от опасных физико-геологических процессов и явлений (оползни, сели, обвалы и др.) определяется исходя из конкретных условий на основании калькуляции затрат и оплачивается дополнительно.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1.10 Базовыми ценами Сп</w:t>
      </w:r>
      <w:r>
        <w:rPr>
          <w:color w:val="000000"/>
          <w:sz w:val="24"/>
          <w:szCs w:val="28"/>
        </w:rPr>
        <w:t>равочника не учтены затраты на проектирование: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внеплощадочных сетей, сооружений (районные транспортные подстанции, котельные, тепловые пункты, очистные водозаборные сооружения), повысительных водопроводных насосных станций, канализационных насосных станц</w:t>
      </w:r>
      <w:r>
        <w:rPr>
          <w:color w:val="000000"/>
          <w:sz w:val="24"/>
          <w:szCs w:val="28"/>
        </w:rPr>
        <w:t>ий;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переноса инженерных сетей в пределах площадки строительства и выноса инженерных сетей и сооружений за пределы отведенного участка.</w:t>
      </w:r>
    </w:p>
    <w:p w:rsidR="00000000" w:rsidRDefault="009C083C">
      <w:pPr>
        <w:pStyle w:val="a8"/>
        <w:spacing w:after="120"/>
        <w:rPr>
          <w:szCs w:val="24"/>
        </w:rPr>
      </w:pPr>
      <w:r>
        <w:t>1.11 Распределение цены проектной документации для строительства защитных сооружений гражданской обороны и других специ</w:t>
      </w:r>
      <w:r>
        <w:t>альных сооружений по стадиям проектирования осуществляется по нижеследующей таблице и может уточняться по договоренности между исполнителем и заказчиком.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5776"/>
        <w:gridCol w:w="3945"/>
      </w:tblGrid>
      <w:tr w:rsidR="00000000">
        <w:trPr>
          <w:trHeight w:val="346"/>
          <w:jc w:val="center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pStyle w:val="5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Виды документации</w:t>
            </w:r>
          </w:p>
        </w:tc>
        <w:tc>
          <w:tcPr>
            <w:tcW w:w="2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szCs w:val="28"/>
              </w:rPr>
              <w:t>Процент от базовой цены</w:t>
            </w:r>
          </w:p>
        </w:tc>
      </w:tr>
      <w:tr w:rsidR="00000000">
        <w:trPr>
          <w:trHeight w:val="210"/>
          <w:jc w:val="center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szCs w:val="28"/>
              </w:rPr>
              <w:t>Проект (П)</w:t>
            </w:r>
          </w:p>
        </w:tc>
        <w:tc>
          <w:tcPr>
            <w:tcW w:w="20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8"/>
              </w:rPr>
              <w:t>30</w:t>
            </w:r>
          </w:p>
        </w:tc>
      </w:tr>
      <w:tr w:rsidR="00000000">
        <w:trPr>
          <w:trHeight w:val="225"/>
          <w:jc w:val="center"/>
        </w:trPr>
        <w:tc>
          <w:tcPr>
            <w:tcW w:w="297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Рабочая документация (Р)</w:t>
            </w:r>
          </w:p>
        </w:tc>
        <w:tc>
          <w:tcPr>
            <w:tcW w:w="202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</w:tr>
      <w:tr w:rsidR="00000000">
        <w:trPr>
          <w:trHeight w:val="268"/>
          <w:jc w:val="center"/>
        </w:trPr>
        <w:tc>
          <w:tcPr>
            <w:tcW w:w="2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szCs w:val="28"/>
              </w:rPr>
              <w:t>Проектная документация</w:t>
            </w:r>
          </w:p>
        </w:tc>
        <w:tc>
          <w:tcPr>
            <w:tcW w:w="2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8"/>
              </w:rPr>
              <w:t>100</w:t>
            </w:r>
          </w:p>
        </w:tc>
      </w:tr>
    </w:tbl>
    <w:p w:rsidR="00000000" w:rsidRDefault="009C083C">
      <w:pPr>
        <w:pStyle w:val="a8"/>
        <w:spacing w:before="120"/>
        <w:rPr>
          <w:szCs w:val="24"/>
        </w:rPr>
      </w:pPr>
      <w:r>
        <w:t>Базовая цена рабочего проекта (РП) составляет 95% от цены проектной документации.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1.12 Цена разработки документации на предпроектной стадии "Обоснования инвестиций в строительство" определяется исходя из стоимости проектной </w:t>
      </w:r>
      <w:r>
        <w:rPr>
          <w:color w:val="000000"/>
          <w:sz w:val="24"/>
          <w:szCs w:val="28"/>
        </w:rPr>
        <w:t xml:space="preserve">документации с применением </w:t>
      </w:r>
      <w:r>
        <w:rPr>
          <w:color w:val="000000"/>
          <w:sz w:val="24"/>
          <w:szCs w:val="28"/>
        </w:rPr>
        <w:lastRenderedPageBreak/>
        <w:t>коэффициента до 0,2.</w:t>
      </w:r>
    </w:p>
    <w:p w:rsidR="00000000" w:rsidRDefault="009C083C">
      <w:pPr>
        <w:pStyle w:val="a8"/>
        <w:rPr>
          <w:szCs w:val="24"/>
        </w:rPr>
      </w:pPr>
      <w:r>
        <w:t>1.13 При разработке смет с использованием ресурсного метода к стоимости разработки раздела "Сметная документация" допускается применять коэффициент до 1,5 по договоренности с заказчиком.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Максимальное значение</w:t>
      </w:r>
      <w:r>
        <w:rPr>
          <w:color w:val="000000"/>
          <w:sz w:val="24"/>
          <w:szCs w:val="28"/>
        </w:rPr>
        <w:t xml:space="preserve"> повышающего коэффициента при составлении сметной документации (с использование программных средств) применяется в случае отсутствия в регионе централизованного банка данных о стоимости ресурсов для учета дополнительных затрат, связанных с его формирование</w:t>
      </w:r>
      <w:r>
        <w:rPr>
          <w:color w:val="000000"/>
          <w:sz w:val="24"/>
          <w:szCs w:val="28"/>
        </w:rPr>
        <w:t>м.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1.14 Базовые цены, приведенные в Справочнике, применяются для определения стоимости проектирования раздела "ИТМ ГОЧС" без защитных сооружений, выполняемых по отдельному заданию вне комплекса проектирования объекта строительства.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В случае комплексного пр</w:t>
      </w:r>
      <w:r>
        <w:rPr>
          <w:color w:val="000000"/>
          <w:sz w:val="24"/>
          <w:szCs w:val="28"/>
        </w:rPr>
        <w:t>оектирования объекта строительства стоимость указанной работы не должна превышать 20% базовой цены стоимости разработки проектной документации на стадии "проект".</w:t>
      </w:r>
    </w:p>
    <w:p w:rsidR="00000000" w:rsidRDefault="009C083C">
      <w:pPr>
        <w:pStyle w:val="1"/>
        <w:spacing w:before="120" w:after="120"/>
        <w:rPr>
          <w:rFonts w:eastAsia="Times New Roman"/>
          <w:szCs w:val="24"/>
        </w:rPr>
      </w:pPr>
      <w:bookmarkStart w:id="1" w:name="_Toc129164734"/>
      <w:r>
        <w:rPr>
          <w:rFonts w:eastAsia="Times New Roman"/>
        </w:rPr>
        <w:t>2 БАЗОВЫЕ ЦЕНЫ НА РАЗРАБОТКУ ПРОЕКТНОЙ ДОКУМЕНТАЦИИ</w:t>
      </w:r>
      <w:bookmarkEnd w:id="1"/>
    </w:p>
    <w:p w:rsidR="00000000" w:rsidRDefault="009C083C">
      <w:pPr>
        <w:pStyle w:val="2"/>
        <w:spacing w:before="120" w:after="120"/>
        <w:rPr>
          <w:rFonts w:eastAsia="Times New Roman"/>
          <w:sz w:val="24"/>
          <w:szCs w:val="24"/>
        </w:rPr>
      </w:pPr>
      <w:bookmarkStart w:id="2" w:name="_Toc129164735"/>
      <w:r>
        <w:rPr>
          <w:rFonts w:eastAsia="Times New Roman"/>
          <w:sz w:val="24"/>
        </w:rPr>
        <w:t xml:space="preserve">Глава 1 </w:t>
      </w:r>
      <w:bookmarkStart w:id="3" w:name="глава_1"/>
      <w:r>
        <w:rPr>
          <w:rFonts w:eastAsia="Times New Roman"/>
          <w:sz w:val="24"/>
        </w:rPr>
        <w:t>Инженерно-технические мероприятия</w:t>
      </w:r>
      <w:r>
        <w:rPr>
          <w:rFonts w:eastAsia="Times New Roman"/>
          <w:sz w:val="24"/>
        </w:rPr>
        <w:t xml:space="preserve"> гражданской обороны. Мероприятия по предупреждению чрезвычайных ситуаций проектов строительства объектов без защитных сооружений гражданской обороны и других специальных сооружений</w:t>
      </w:r>
      <w:bookmarkEnd w:id="2"/>
      <w:bookmarkEnd w:id="3"/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 Цена разработки раздела "ИТМ ГОЧС" определяется по формуле:</w:t>
      </w:r>
    </w:p>
    <w:p w:rsidR="00000000" w:rsidRDefault="009C083C">
      <w:pPr>
        <w:shd w:val="clear" w:color="auto" w:fill="FFFFFF"/>
        <w:spacing w:before="120" w:after="120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  <w:vertAlign w:val="subscript"/>
        </w:rPr>
        <w:t>итм</w:t>
      </w:r>
      <w:r>
        <w:rPr>
          <w:i/>
          <w:iCs/>
          <w:sz w:val="24"/>
          <w:szCs w:val="24"/>
        </w:rPr>
        <w:t>=С</w:t>
      </w:r>
      <w:r>
        <w:rPr>
          <w:i/>
          <w:iCs/>
          <w:sz w:val="24"/>
          <w:szCs w:val="24"/>
          <w:vertAlign w:val="subscript"/>
        </w:rPr>
        <w:t>итм 01</w:t>
      </w:r>
      <w:r>
        <w:rPr>
          <w:i/>
          <w:iCs/>
          <w:sz w:val="24"/>
          <w:szCs w:val="24"/>
        </w:rPr>
        <w:t>×К</w:t>
      </w:r>
      <w:r>
        <w:rPr>
          <w:i/>
          <w:iCs/>
          <w:sz w:val="24"/>
          <w:szCs w:val="24"/>
          <w:vertAlign w:val="subscript"/>
        </w:rPr>
        <w:t>ин</w:t>
      </w:r>
      <w:r>
        <w:rPr>
          <w:noProof/>
          <w:sz w:val="24"/>
          <w:szCs w:val="24"/>
          <w:vertAlign w:val="subscript"/>
        </w:rPr>
        <w:drawing>
          <wp:inline distT="0" distB="0" distL="0" distR="0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где: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8"/>
        </w:rPr>
        <w:t>С</w:t>
      </w:r>
      <w:r>
        <w:rPr>
          <w:i/>
          <w:iCs/>
          <w:color w:val="000000"/>
          <w:sz w:val="24"/>
          <w:szCs w:val="28"/>
          <w:vertAlign w:val="subscript"/>
        </w:rPr>
        <w:t>итм</w:t>
      </w:r>
      <w:r>
        <w:rPr>
          <w:i/>
          <w:iCs/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- цена разработки раздела "ИТМ ГОЧС" на момент определения цены;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С</w:t>
      </w:r>
      <w:r>
        <w:rPr>
          <w:i/>
          <w:iCs/>
          <w:sz w:val="24"/>
          <w:szCs w:val="24"/>
          <w:vertAlign w:val="subscript"/>
        </w:rPr>
        <w:t>итм 01</w:t>
      </w:r>
      <w:r>
        <w:rPr>
          <w:sz w:val="24"/>
          <w:szCs w:val="24"/>
        </w:rPr>
        <w:t xml:space="preserve"> -</w:t>
      </w:r>
      <w:r>
        <w:rPr>
          <w:color w:val="000000"/>
          <w:sz w:val="24"/>
          <w:szCs w:val="28"/>
        </w:rPr>
        <w:t xml:space="preserve"> цена разработки раздела "ИТМ ГОЧС" в ценах по состоянию на 01.01.2001 г.;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К</w:t>
      </w:r>
      <w:r>
        <w:rPr>
          <w:i/>
          <w:iCs/>
          <w:sz w:val="24"/>
          <w:szCs w:val="24"/>
          <w:vertAlign w:val="subscript"/>
        </w:rPr>
        <w:t>ин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color w:val="000000"/>
          <w:sz w:val="24"/>
          <w:szCs w:val="28"/>
        </w:rPr>
        <w:t xml:space="preserve">коэффициент, </w:t>
      </w:r>
      <w:r>
        <w:rPr>
          <w:color w:val="000000"/>
          <w:sz w:val="24"/>
          <w:szCs w:val="28"/>
        </w:rPr>
        <w:t>отражающий инфляционные процессы на момент определения цены.</w:t>
      </w:r>
    </w:p>
    <w:p w:rsidR="00000000" w:rsidRDefault="009C083C">
      <w:pPr>
        <w:pStyle w:val="a8"/>
        <w:rPr>
          <w:szCs w:val="24"/>
        </w:rPr>
      </w:pPr>
      <w:r>
        <w:t>2 Цена разработки раздела «ИТМ ГОЧС» в ценах по состоянию на 1 января 2001 г. определяется по формуле:</w:t>
      </w:r>
    </w:p>
    <w:p w:rsidR="00000000" w:rsidRDefault="009C083C">
      <w:pPr>
        <w:shd w:val="clear" w:color="auto" w:fill="FFFFFF"/>
        <w:spacing w:before="120" w:after="120"/>
        <w:jc w:val="center"/>
        <w:rPr>
          <w:i/>
          <w:iCs/>
          <w:color w:val="000000"/>
          <w:sz w:val="24"/>
          <w:szCs w:val="22"/>
        </w:rPr>
      </w:pPr>
      <w:r>
        <w:rPr>
          <w:noProof/>
          <w:sz w:val="24"/>
          <w:szCs w:val="24"/>
          <w:vertAlign w:val="subscript"/>
        </w:rPr>
        <w:drawing>
          <wp:inline distT="0" distB="0" distL="0" distR="0">
            <wp:extent cx="1143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vertAlign w:val="subscript"/>
        </w:rPr>
        <w:drawing>
          <wp:inline distT="0" distB="0" distL="0" distR="0">
            <wp:extent cx="2743200" cy="2476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noProof/>
          <w:color w:val="000000"/>
          <w:sz w:val="24"/>
          <w:szCs w:val="28"/>
          <w:vertAlign w:val="subscript"/>
        </w:rPr>
        <w:drawing>
          <wp:inline distT="0" distB="0" distL="0" distR="0">
            <wp:extent cx="40005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8"/>
        </w:rPr>
        <w:t xml:space="preserve"> - Цена разработки раздела "ИТМ ГОЧС" проекта строительства условного объек</w:t>
      </w:r>
      <w:r>
        <w:rPr>
          <w:color w:val="000000"/>
          <w:sz w:val="24"/>
          <w:szCs w:val="28"/>
        </w:rPr>
        <w:t>та в ценах по состоянию на 01.01.2001 г. (принимается равной 30500 руб.);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8"/>
        </w:rPr>
        <w:t>К</w:t>
      </w:r>
      <w:r>
        <w:rPr>
          <w:i/>
          <w:iCs/>
          <w:color w:val="000000"/>
          <w:sz w:val="24"/>
          <w:szCs w:val="28"/>
          <w:vertAlign w:val="subscript"/>
        </w:rPr>
        <w:t>ис</w:t>
      </w:r>
      <w:r>
        <w:rPr>
          <w:color w:val="000000"/>
          <w:sz w:val="24"/>
          <w:szCs w:val="28"/>
        </w:rPr>
        <w:t xml:space="preserve"> - коэффициент, учитывающий количество источников возможных ЧС (определяется по </w:t>
      </w:r>
      <w:hyperlink w:anchor="таблица_1" w:tooltip="Коэффициенты, учитывающие количество источников возможных ЧС" w:history="1">
        <w:r>
          <w:rPr>
            <w:rStyle w:val="a3"/>
            <w:sz w:val="24"/>
            <w:szCs w:val="28"/>
          </w:rPr>
          <w:t>т</w:t>
        </w:r>
        <w:r>
          <w:rPr>
            <w:rStyle w:val="a3"/>
            <w:sz w:val="24"/>
            <w:szCs w:val="28"/>
          </w:rPr>
          <w:t>аблице 1</w:t>
        </w:r>
      </w:hyperlink>
      <w:r>
        <w:rPr>
          <w:color w:val="000000"/>
          <w:sz w:val="24"/>
          <w:szCs w:val="28"/>
        </w:rPr>
        <w:t>);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8"/>
        </w:rPr>
        <w:t>К</w:t>
      </w:r>
      <w:r>
        <w:rPr>
          <w:i/>
          <w:iCs/>
          <w:color w:val="000000"/>
          <w:sz w:val="24"/>
          <w:szCs w:val="28"/>
          <w:vertAlign w:val="subscript"/>
        </w:rPr>
        <w:t>го</w:t>
      </w:r>
      <w:r>
        <w:rPr>
          <w:color w:val="000000"/>
          <w:sz w:val="24"/>
          <w:szCs w:val="28"/>
        </w:rPr>
        <w:t xml:space="preserve"> - коэффициент, учитывающий категорию объекта по ГО (принимается равным 1 для некатегорированных объектов или 1,04 для объектов, отнесенных к категориям "особой важности", </w:t>
      </w:r>
      <w:r>
        <w:rPr>
          <w:color w:val="000000"/>
          <w:sz w:val="24"/>
          <w:szCs w:val="28"/>
          <w:lang w:val="en-US"/>
        </w:rPr>
        <w:t>I</w:t>
      </w:r>
      <w:r>
        <w:rPr>
          <w:color w:val="000000"/>
          <w:sz w:val="24"/>
          <w:szCs w:val="28"/>
        </w:rPr>
        <w:t xml:space="preserve"> и </w:t>
      </w:r>
      <w:r>
        <w:rPr>
          <w:color w:val="000000"/>
          <w:sz w:val="24"/>
          <w:szCs w:val="28"/>
          <w:lang w:val="en-US"/>
        </w:rPr>
        <w:t>II</w:t>
      </w:r>
      <w:r>
        <w:rPr>
          <w:color w:val="000000"/>
          <w:sz w:val="24"/>
          <w:szCs w:val="28"/>
        </w:rPr>
        <w:t>);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8"/>
        </w:rPr>
        <w:t>К</w:t>
      </w:r>
      <w:r>
        <w:rPr>
          <w:i/>
          <w:iCs/>
          <w:color w:val="000000"/>
          <w:sz w:val="24"/>
          <w:szCs w:val="28"/>
          <w:vertAlign w:val="subscript"/>
        </w:rPr>
        <w:t>сл</w:t>
      </w:r>
      <w:r>
        <w:rPr>
          <w:color w:val="000000"/>
          <w:sz w:val="24"/>
          <w:szCs w:val="28"/>
        </w:rPr>
        <w:t xml:space="preserve"> </w:t>
      </w:r>
      <w:r>
        <w:rPr>
          <w:rFonts w:hAnsi="Arial"/>
          <w:color w:val="000000"/>
          <w:sz w:val="24"/>
          <w:szCs w:val="28"/>
        </w:rPr>
        <w:t xml:space="preserve">- </w:t>
      </w:r>
      <w:r>
        <w:rPr>
          <w:color w:val="000000"/>
          <w:sz w:val="24"/>
          <w:szCs w:val="28"/>
        </w:rPr>
        <w:t xml:space="preserve">коэффициент сложности проектируемого объекта (определяется по </w:t>
      </w:r>
      <w:hyperlink w:anchor="таблица_2" w:tooltip="Коэффициенты, учитывающие категорию сложности проектируемого объекта" w:history="1">
        <w:r>
          <w:rPr>
            <w:rStyle w:val="a3"/>
            <w:sz w:val="24"/>
            <w:szCs w:val="28"/>
          </w:rPr>
          <w:t>таблицам 2</w:t>
        </w:r>
      </w:hyperlink>
      <w:r>
        <w:rPr>
          <w:color w:val="000000"/>
          <w:sz w:val="24"/>
          <w:szCs w:val="28"/>
        </w:rPr>
        <w:t xml:space="preserve"> и </w:t>
      </w:r>
      <w:hyperlink w:anchor="таблица_3" w:tooltip="Показатели для определения категории сложности" w:history="1">
        <w:r>
          <w:rPr>
            <w:rStyle w:val="a3"/>
            <w:sz w:val="24"/>
            <w:szCs w:val="28"/>
          </w:rPr>
          <w:t>3</w:t>
        </w:r>
      </w:hyperlink>
      <w:r>
        <w:rPr>
          <w:color w:val="000000"/>
          <w:sz w:val="24"/>
          <w:szCs w:val="28"/>
        </w:rPr>
        <w:t>);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8"/>
        </w:rPr>
        <w:t>К</w:t>
      </w:r>
      <w:r>
        <w:rPr>
          <w:i/>
          <w:iCs/>
          <w:color w:val="000000"/>
          <w:sz w:val="24"/>
          <w:szCs w:val="28"/>
          <w:vertAlign w:val="subscript"/>
        </w:rPr>
        <w:t>о6</w:t>
      </w:r>
      <w:r>
        <w:rPr>
          <w:color w:val="000000"/>
          <w:sz w:val="24"/>
          <w:szCs w:val="28"/>
        </w:rPr>
        <w:t xml:space="preserve"> - коэффициент, учитывающий функциональное назначение объекта (принимается равным 1 для объектов жилищно-гражданского назначения и 1,15 для объектов производственного назначения);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8"/>
        </w:rPr>
        <w:t>К</w:t>
      </w:r>
      <w:r>
        <w:rPr>
          <w:i/>
          <w:iCs/>
          <w:color w:val="000000"/>
          <w:sz w:val="24"/>
          <w:szCs w:val="28"/>
          <w:vertAlign w:val="subscript"/>
        </w:rPr>
        <w:t>пр</w:t>
      </w:r>
      <w:r>
        <w:rPr>
          <w:color w:val="000000"/>
          <w:sz w:val="24"/>
          <w:szCs w:val="28"/>
        </w:rPr>
        <w:t xml:space="preserve"> -</w:t>
      </w:r>
      <w:r>
        <w:rPr>
          <w:rFonts w:hAnsi="Arial"/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коэффициент, учитывающий разработку мероприятий по приспособлению проектируемого объекта (его помещений, зданий или сооружений) для санитарной обработки людей, специальной обработки одежды и подвижного состава автотранспорта принимается в размере 1,5;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8"/>
        </w:rPr>
        <w:t>К</w:t>
      </w:r>
      <w:r>
        <w:rPr>
          <w:i/>
          <w:iCs/>
          <w:color w:val="000000"/>
          <w:sz w:val="24"/>
          <w:szCs w:val="28"/>
          <w:vertAlign w:val="subscript"/>
        </w:rPr>
        <w:t>пф</w:t>
      </w:r>
      <w:r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- коэффициент, учитывающий однотипность решений по </w:t>
      </w:r>
      <w:r>
        <w:rPr>
          <w:sz w:val="24"/>
        </w:rPr>
        <w:t xml:space="preserve">предупреждению ЧС для различных источников ЧС с одинаковыми поражающими факторами (определяется по </w:t>
      </w:r>
      <w:hyperlink w:anchor="таблица_4" w:tooltip="Коэффициенты, учитывающие однотипность решений по предупреждению ЧС для различных источников ЧС с одинаковыми поражающими факторами" w:history="1">
        <w:r>
          <w:rPr>
            <w:rStyle w:val="a3"/>
            <w:sz w:val="24"/>
          </w:rPr>
          <w:t>табл. 4</w:t>
        </w:r>
      </w:hyperlink>
      <w:r>
        <w:rPr>
          <w:sz w:val="24"/>
        </w:rPr>
        <w:t>).</w:t>
      </w:r>
    </w:p>
    <w:p w:rsidR="00000000" w:rsidRDefault="009C083C">
      <w:pPr>
        <w:pStyle w:val="22"/>
      </w:pPr>
      <w:r>
        <w:t>* За цену разработки раздела "ИТМ ГОЧС" для условного объекта принята цена разработки раздела "ИТМ ГОЧС" проекта строительства объекта жилшцно-гражданского назначения в одном строении</w:t>
      </w:r>
      <w:r>
        <w:t xml:space="preserve"> при наличии трех возможных источников чрезвычайных ситуаций (двух техногенных, одного природного).</w:t>
      </w:r>
    </w:p>
    <w:p w:rsidR="00000000" w:rsidRDefault="009C083C">
      <w:pPr>
        <w:pStyle w:val="3"/>
        <w:spacing w:before="120" w:after="0"/>
        <w:jc w:val="right"/>
        <w:rPr>
          <w:rFonts w:ascii="Times New Roman" w:eastAsia="Times New Roman" w:hAnsi="Times New Roman" w:cs="Times New Roman"/>
          <w:sz w:val="24"/>
        </w:rPr>
      </w:pPr>
      <w:bookmarkStart w:id="4" w:name="_Toc129164736"/>
      <w:r>
        <w:rPr>
          <w:rFonts w:ascii="Times New Roman" w:eastAsia="Times New Roman" w:hAnsi="Times New Roman" w:cs="Times New Roman"/>
          <w:sz w:val="24"/>
        </w:rPr>
        <w:lastRenderedPageBreak/>
        <w:t>Таблица 1</w:t>
      </w:r>
      <w:bookmarkEnd w:id="4"/>
    </w:p>
    <w:p w:rsidR="00000000" w:rsidRDefault="009C083C">
      <w:pPr>
        <w:pStyle w:val="3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Toc129164737"/>
      <w:bookmarkStart w:id="6" w:name="таблица_1"/>
      <w:r>
        <w:rPr>
          <w:rFonts w:ascii="Times New Roman" w:eastAsia="Times New Roman" w:hAnsi="Times New Roman" w:cs="Times New Roman"/>
          <w:sz w:val="24"/>
        </w:rPr>
        <w:t>Коэффициенты, учитывающие количество источников возможных ЧС</w:t>
      </w:r>
      <w:bookmarkEnd w:id="5"/>
      <w:bookmarkEnd w:id="6"/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1467"/>
        <w:gridCol w:w="757"/>
        <w:gridCol w:w="756"/>
        <w:gridCol w:w="585"/>
        <w:gridCol w:w="756"/>
        <w:gridCol w:w="756"/>
        <w:gridCol w:w="756"/>
        <w:gridCol w:w="756"/>
        <w:gridCol w:w="585"/>
        <w:gridCol w:w="756"/>
        <w:gridCol w:w="1791"/>
      </w:tblGrid>
      <w:tr w:rsidR="00000000">
        <w:trPr>
          <w:trHeight w:val="337"/>
          <w:jc w:val="center"/>
        </w:trPr>
        <w:tc>
          <w:tcPr>
            <w:tcW w:w="7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Показатель</w:t>
            </w:r>
          </w:p>
        </w:tc>
        <w:tc>
          <w:tcPr>
            <w:tcW w:w="424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Суммарное количество источников ЧС (природных и техногенных)</w:t>
            </w:r>
          </w:p>
        </w:tc>
      </w:tr>
      <w:tr w:rsidR="00000000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jc w:val="both"/>
              <w:rPr>
                <w:szCs w:val="24"/>
              </w:rPr>
            </w:pPr>
          </w:p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8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10 и более</w:t>
            </w:r>
          </w:p>
        </w:tc>
      </w:tr>
      <w:tr w:rsidR="00000000">
        <w:trPr>
          <w:trHeight w:val="324"/>
          <w:jc w:val="center"/>
        </w:trPr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8"/>
              </w:rPr>
              <w:t>К</w:t>
            </w:r>
            <w:r>
              <w:rPr>
                <w:b/>
                <w:bCs/>
                <w:i/>
                <w:iCs/>
                <w:color w:val="000000"/>
                <w:szCs w:val="28"/>
                <w:vertAlign w:val="subscript"/>
              </w:rPr>
              <w:t>ис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0,88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0,94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8"/>
              </w:rPr>
              <w:t>1,0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1,06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1,12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1,18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1,24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1,3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1,36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1,40</w:t>
            </w:r>
          </w:p>
        </w:tc>
      </w:tr>
    </w:tbl>
    <w:p w:rsidR="00000000" w:rsidRDefault="009C083C">
      <w:pPr>
        <w:pStyle w:val="3"/>
        <w:spacing w:before="120" w:after="0"/>
        <w:jc w:val="right"/>
        <w:rPr>
          <w:rFonts w:ascii="Times New Roman" w:eastAsia="Times New Roman" w:hAnsi="Times New Roman" w:cs="Times New Roman"/>
          <w:sz w:val="24"/>
        </w:rPr>
      </w:pPr>
      <w:bookmarkStart w:id="7" w:name="_Toc129164738"/>
      <w:r>
        <w:rPr>
          <w:rFonts w:ascii="Times New Roman" w:eastAsia="Times New Roman" w:hAnsi="Times New Roman" w:cs="Times New Roman"/>
          <w:sz w:val="24"/>
        </w:rPr>
        <w:t>Таблица 2</w:t>
      </w:r>
      <w:bookmarkEnd w:id="7"/>
    </w:p>
    <w:p w:rsidR="00000000" w:rsidRDefault="009C083C">
      <w:pPr>
        <w:pStyle w:val="3"/>
        <w:spacing w:before="120" w:after="120"/>
        <w:jc w:val="center"/>
        <w:rPr>
          <w:rFonts w:ascii="Times New Roman" w:eastAsia="Times New Roman" w:hAnsi="Times New Roman" w:cs="Times New Roman"/>
          <w:sz w:val="24"/>
        </w:rPr>
      </w:pPr>
      <w:bookmarkStart w:id="8" w:name="_Toc129164739"/>
      <w:bookmarkStart w:id="9" w:name="таблица_2"/>
      <w:r>
        <w:rPr>
          <w:rFonts w:ascii="Times New Roman" w:eastAsia="Times New Roman" w:hAnsi="Times New Roman" w:cs="Times New Roman"/>
          <w:sz w:val="24"/>
        </w:rPr>
        <w:t>Коэффициенты, учитывающие категорию сложности проектируемого объекта</w:t>
      </w:r>
      <w:bookmarkEnd w:id="8"/>
      <w:bookmarkEnd w:id="9"/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2418"/>
        <w:gridCol w:w="1545"/>
        <w:gridCol w:w="1365"/>
        <w:gridCol w:w="1305"/>
        <w:gridCol w:w="1546"/>
        <w:gridCol w:w="1542"/>
      </w:tblGrid>
      <w:tr w:rsidR="00000000">
        <w:trPr>
          <w:trHeight w:val="317"/>
          <w:jc w:val="center"/>
        </w:trPr>
        <w:tc>
          <w:tcPr>
            <w:tcW w:w="12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Показатель</w:t>
            </w:r>
          </w:p>
        </w:tc>
        <w:tc>
          <w:tcPr>
            <w:tcW w:w="37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Категория сложности</w:t>
            </w:r>
          </w:p>
        </w:tc>
      </w:tr>
      <w:tr w:rsidR="00000000">
        <w:trPr>
          <w:trHeight w:val="27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jc w:val="both"/>
              <w:rPr>
                <w:szCs w:val="24"/>
              </w:rPr>
            </w:pPr>
          </w:p>
          <w:p w:rsidR="00000000" w:rsidRDefault="009C083C">
            <w:pPr>
              <w:shd w:val="clear" w:color="auto" w:fill="FFFFFF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8"/>
                <w:lang w:val="en-US"/>
              </w:rPr>
              <w:t>I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8"/>
                <w:lang w:val="en-US"/>
              </w:rPr>
              <w:t>II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6"/>
                <w:lang w:val="en-US"/>
              </w:rPr>
              <w:t>III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8"/>
                <w:lang w:val="en-US"/>
              </w:rPr>
              <w:t>IV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8"/>
                <w:lang w:val="en-US"/>
              </w:rPr>
              <w:t>V</w:t>
            </w:r>
          </w:p>
        </w:tc>
      </w:tr>
      <w:tr w:rsidR="00000000">
        <w:trPr>
          <w:trHeight w:val="278"/>
          <w:jc w:val="center"/>
        </w:trPr>
        <w:tc>
          <w:tcPr>
            <w:tcW w:w="1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К</w:t>
            </w:r>
            <w:r>
              <w:rPr>
                <w:b/>
                <w:bCs/>
                <w:i/>
                <w:iCs/>
                <w:szCs w:val="24"/>
                <w:vertAlign w:val="subscript"/>
              </w:rPr>
              <w:t>сл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1,0-1,1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8"/>
              </w:rPr>
              <w:t>1,1-1,2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1,2-1,3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8"/>
              </w:rPr>
              <w:t>1,3-1,4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8"/>
              </w:rPr>
              <w:t>1,4-1,5</w:t>
            </w:r>
          </w:p>
        </w:tc>
      </w:tr>
    </w:tbl>
    <w:p w:rsidR="00000000" w:rsidRDefault="009C083C">
      <w:pPr>
        <w:shd w:val="clear" w:color="auto" w:fill="FFFFFF"/>
        <w:spacing w:before="120" w:after="120"/>
        <w:ind w:firstLine="284"/>
        <w:jc w:val="both"/>
        <w:rPr>
          <w:szCs w:val="24"/>
        </w:rPr>
      </w:pPr>
      <w:r>
        <w:rPr>
          <w:i/>
          <w:iCs/>
          <w:color w:val="000000"/>
          <w:spacing w:val="40"/>
          <w:szCs w:val="28"/>
        </w:rPr>
        <w:t>Примечание</w:t>
      </w:r>
      <w:r>
        <w:rPr>
          <w:i/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- Для потенциально опасных объектов, гидротехнических сооружений, объектов воздушного, морского и речного транспорта коэффициент сложности </w:t>
      </w:r>
      <w:r>
        <w:rPr>
          <w:i/>
          <w:iCs/>
          <w:color w:val="000000"/>
          <w:szCs w:val="28"/>
        </w:rPr>
        <w:t>(К</w:t>
      </w:r>
      <w:r>
        <w:rPr>
          <w:i/>
          <w:iCs/>
          <w:color w:val="000000"/>
          <w:szCs w:val="28"/>
          <w:vertAlign w:val="subscript"/>
        </w:rPr>
        <w:t>сл</w:t>
      </w:r>
      <w:r>
        <w:rPr>
          <w:i/>
          <w:iCs/>
          <w:color w:val="000000"/>
          <w:szCs w:val="28"/>
        </w:rPr>
        <w:t xml:space="preserve">) </w:t>
      </w:r>
      <w:r>
        <w:rPr>
          <w:color w:val="000000"/>
          <w:szCs w:val="28"/>
        </w:rPr>
        <w:t>устанавливается в пределах 1,6-2,5.</w:t>
      </w:r>
    </w:p>
    <w:p w:rsidR="00000000" w:rsidRDefault="009C083C">
      <w:pPr>
        <w:pStyle w:val="3"/>
        <w:spacing w:before="120" w:after="0"/>
        <w:jc w:val="right"/>
        <w:rPr>
          <w:rFonts w:eastAsia="Times New Roman"/>
          <w:i/>
          <w:iCs/>
          <w:color w:val="000000"/>
          <w:sz w:val="24"/>
          <w:szCs w:val="28"/>
        </w:rPr>
      </w:pPr>
      <w:bookmarkStart w:id="10" w:name="_Toc129164740"/>
      <w:r>
        <w:rPr>
          <w:rFonts w:ascii="Times New Roman" w:eastAsia="Times New Roman" w:hAnsi="Times New Roman" w:cs="Times New Roman"/>
          <w:sz w:val="24"/>
        </w:rPr>
        <w:t>Таблица 3</w:t>
      </w:r>
      <w:bookmarkEnd w:id="10"/>
    </w:p>
    <w:p w:rsidR="00000000" w:rsidRDefault="009C083C">
      <w:pPr>
        <w:pStyle w:val="3"/>
        <w:spacing w:before="120" w:after="120"/>
        <w:jc w:val="center"/>
        <w:rPr>
          <w:rFonts w:eastAsia="Times New Roman"/>
          <w:sz w:val="24"/>
          <w:szCs w:val="24"/>
        </w:rPr>
      </w:pPr>
      <w:bookmarkStart w:id="11" w:name="_Toc129164741"/>
      <w:bookmarkStart w:id="12" w:name="таблица_3"/>
      <w:r>
        <w:rPr>
          <w:rFonts w:ascii="Times New Roman" w:eastAsia="Times New Roman" w:hAnsi="Times New Roman" w:cs="Times New Roman"/>
          <w:sz w:val="24"/>
        </w:rPr>
        <w:t>Показатели для определения категории сложности</w:t>
      </w:r>
      <w:bookmarkEnd w:id="11"/>
      <w:bookmarkEnd w:id="12"/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8234"/>
        <w:gridCol w:w="249"/>
        <w:gridCol w:w="268"/>
        <w:gridCol w:w="350"/>
        <w:gridCol w:w="350"/>
        <w:gridCol w:w="270"/>
      </w:tblGrid>
      <w:tr w:rsidR="00000000">
        <w:trPr>
          <w:trHeight w:val="324"/>
          <w:jc w:val="center"/>
        </w:trPr>
        <w:tc>
          <w:tcPr>
            <w:tcW w:w="42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Показатели объекта</w:t>
            </w:r>
          </w:p>
        </w:tc>
        <w:tc>
          <w:tcPr>
            <w:tcW w:w="76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Категория сложности</w:t>
            </w:r>
          </w:p>
        </w:tc>
      </w:tr>
      <w:tr w:rsidR="00000000">
        <w:trPr>
          <w:trHeight w:val="33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I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II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III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8"/>
                <w:lang w:val="en-US"/>
              </w:rPr>
              <w:t>IV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8"/>
                <w:lang w:val="en-US"/>
              </w:rPr>
              <w:t>V</w:t>
            </w:r>
          </w:p>
        </w:tc>
      </w:tr>
      <w:tr w:rsidR="00000000">
        <w:trPr>
          <w:trHeight w:val="336"/>
          <w:jc w:val="center"/>
        </w:trPr>
        <w:tc>
          <w:tcPr>
            <w:tcW w:w="4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1 Объект в одном строении единого функционального назначения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478"/>
          <w:jc w:val="center"/>
        </w:trPr>
        <w:tc>
          <w:tcPr>
            <w:tcW w:w="42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 Объект в одном строении с наличием элементов, различных по функциональному назначению (количеству функциональных единиц):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270"/>
          <w:jc w:val="center"/>
        </w:trPr>
        <w:tc>
          <w:tcPr>
            <w:tcW w:w="42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до двух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270"/>
          <w:jc w:val="center"/>
        </w:trPr>
        <w:tc>
          <w:tcPr>
            <w:tcW w:w="423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свыше двух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270"/>
          <w:jc w:val="center"/>
        </w:trPr>
        <w:tc>
          <w:tcPr>
            <w:tcW w:w="42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3 Объект в группе строений </w:t>
            </w:r>
            <w:r>
              <w:rPr>
                <w:color w:val="000000"/>
                <w:szCs w:val="26"/>
              </w:rPr>
              <w:t>одного функционального назначения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270"/>
          <w:jc w:val="center"/>
        </w:trPr>
        <w:tc>
          <w:tcPr>
            <w:tcW w:w="42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 Количество функциональных назначений строений;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270"/>
          <w:jc w:val="center"/>
        </w:trPr>
        <w:tc>
          <w:tcPr>
            <w:tcW w:w="42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до двух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270"/>
          <w:jc w:val="center"/>
        </w:trPr>
        <w:tc>
          <w:tcPr>
            <w:tcW w:w="42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свыше двух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270"/>
          <w:jc w:val="center"/>
        </w:trPr>
        <w:tc>
          <w:tcPr>
            <w:tcW w:w="42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 Количество функциональных назначений в строениях группы: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  <w:tr w:rsidR="00000000">
        <w:trPr>
          <w:trHeight w:val="270"/>
          <w:jc w:val="center"/>
        </w:trPr>
        <w:tc>
          <w:tcPr>
            <w:tcW w:w="423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до двух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</w:t>
            </w: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</w:tr>
      <w:tr w:rsidR="00000000">
        <w:trPr>
          <w:trHeight w:val="270"/>
          <w:jc w:val="center"/>
        </w:trPr>
        <w:tc>
          <w:tcPr>
            <w:tcW w:w="42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- свыше двух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</w:t>
            </w:r>
          </w:p>
        </w:tc>
      </w:tr>
    </w:tbl>
    <w:p w:rsidR="00000000" w:rsidRDefault="009C083C">
      <w:pPr>
        <w:pStyle w:val="3"/>
        <w:spacing w:before="120" w:after="0"/>
        <w:jc w:val="right"/>
        <w:rPr>
          <w:rFonts w:eastAsia="Times New Roman"/>
          <w:i/>
          <w:iCs/>
          <w:color w:val="000000"/>
          <w:sz w:val="24"/>
          <w:szCs w:val="28"/>
        </w:rPr>
      </w:pPr>
      <w:bookmarkStart w:id="13" w:name="_Toc129164742"/>
      <w:r>
        <w:rPr>
          <w:rFonts w:ascii="Times New Roman" w:eastAsia="Times New Roman" w:hAnsi="Times New Roman" w:cs="Times New Roman"/>
          <w:sz w:val="24"/>
        </w:rPr>
        <w:t>Таблица 4</w:t>
      </w:r>
      <w:bookmarkEnd w:id="13"/>
    </w:p>
    <w:p w:rsidR="00000000" w:rsidRDefault="009C083C">
      <w:pPr>
        <w:pStyle w:val="3"/>
        <w:spacing w:before="120" w:after="120"/>
        <w:jc w:val="center"/>
        <w:rPr>
          <w:rFonts w:eastAsia="Times New Roman"/>
          <w:sz w:val="24"/>
          <w:szCs w:val="24"/>
        </w:rPr>
      </w:pPr>
      <w:bookmarkStart w:id="14" w:name="_Toc129164743"/>
      <w:bookmarkStart w:id="15" w:name="таблица_4"/>
      <w:r>
        <w:rPr>
          <w:rFonts w:ascii="Times New Roman" w:eastAsia="Times New Roman" w:hAnsi="Times New Roman" w:cs="Times New Roman"/>
          <w:sz w:val="24"/>
        </w:rPr>
        <w:t>Коэффициенты, учитывающие однотипность решений по предупреждению ЧС для различных источников ЧС с одинаковыми поражающими факторами</w:t>
      </w:r>
      <w:bookmarkEnd w:id="14"/>
      <w:bookmarkEnd w:id="15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1402"/>
        <w:gridCol w:w="1112"/>
        <w:gridCol w:w="1112"/>
        <w:gridCol w:w="1112"/>
        <w:gridCol w:w="1112"/>
        <w:gridCol w:w="1112"/>
        <w:gridCol w:w="2759"/>
      </w:tblGrid>
      <w:tr w:rsidR="00000000">
        <w:trPr>
          <w:trHeight w:val="379"/>
          <w:jc w:val="center"/>
        </w:trPr>
        <w:tc>
          <w:tcPr>
            <w:tcW w:w="7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Показатель</w:t>
            </w:r>
          </w:p>
        </w:tc>
        <w:tc>
          <w:tcPr>
            <w:tcW w:w="42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 xml:space="preserve">Количество источников ЧС с </w:t>
            </w:r>
            <w:r>
              <w:rPr>
                <w:color w:val="000000"/>
                <w:szCs w:val="26"/>
              </w:rPr>
              <w:t>одинаковыми поражающими факторами</w:t>
            </w:r>
          </w:p>
        </w:tc>
      </w:tr>
      <w:tr w:rsidR="00000000">
        <w:trPr>
          <w:trHeight w:val="31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7 и более 1</w:t>
            </w:r>
          </w:p>
        </w:tc>
      </w:tr>
      <w:tr w:rsidR="00000000">
        <w:trPr>
          <w:trHeight w:val="251"/>
          <w:jc w:val="center"/>
        </w:trPr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2"/>
              </w:rPr>
              <w:t>К</w:t>
            </w:r>
            <w:r>
              <w:rPr>
                <w:b/>
                <w:bCs/>
                <w:i/>
                <w:iCs/>
                <w:color w:val="000000"/>
                <w:szCs w:val="22"/>
                <w:vertAlign w:val="subscript"/>
              </w:rPr>
              <w:t>пф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0,90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0,86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32"/>
              </w:rPr>
              <w:t>0,82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0,78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0,74</w:t>
            </w:r>
          </w:p>
        </w:tc>
        <w:tc>
          <w:tcPr>
            <w:tcW w:w="1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32"/>
              </w:rPr>
              <w:t>0,70</w:t>
            </w:r>
          </w:p>
        </w:tc>
      </w:tr>
    </w:tbl>
    <w:p w:rsidR="00000000" w:rsidRDefault="009C083C">
      <w:pPr>
        <w:pStyle w:val="2"/>
        <w:spacing w:before="120" w:after="120"/>
        <w:rPr>
          <w:rFonts w:eastAsia="Times New Roman"/>
          <w:sz w:val="24"/>
          <w:szCs w:val="24"/>
        </w:rPr>
      </w:pPr>
      <w:bookmarkStart w:id="16" w:name="_Toc129164744"/>
      <w:r>
        <w:rPr>
          <w:rFonts w:eastAsia="Times New Roman"/>
          <w:sz w:val="24"/>
        </w:rPr>
        <w:t xml:space="preserve">Глава 2 </w:t>
      </w:r>
      <w:bookmarkStart w:id="17" w:name="глава_2"/>
      <w:r>
        <w:rPr>
          <w:rFonts w:eastAsia="Times New Roman"/>
          <w:sz w:val="24"/>
        </w:rPr>
        <w:t>Защитные сооружения гражданской обороны и другие специальные сооружения</w:t>
      </w:r>
      <w:bookmarkEnd w:id="16"/>
      <w:bookmarkEnd w:id="17"/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1 </w:t>
      </w:r>
      <w:r>
        <w:rPr>
          <w:color w:val="000000"/>
          <w:sz w:val="24"/>
          <w:szCs w:val="28"/>
        </w:rPr>
        <w:t xml:space="preserve">Базовые цены проектирования защитных сооружений гражданской обороны (ЗС ГО) и других специальных сооружений приведены для отдельно стоящих сооружений </w:t>
      </w:r>
      <w:r>
        <w:rPr>
          <w:color w:val="000000"/>
          <w:sz w:val="24"/>
          <w:szCs w:val="28"/>
          <w:lang w:val="en-US"/>
        </w:rPr>
        <w:t>IV</w:t>
      </w:r>
      <w:r>
        <w:rPr>
          <w:color w:val="000000"/>
          <w:sz w:val="24"/>
          <w:szCs w:val="28"/>
        </w:rPr>
        <w:t xml:space="preserve"> класса защиты, расположенных во 2-й климатической зоне, с двумя режимами вентиляции, в сухих грунтах.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2</w:t>
      </w:r>
      <w:r>
        <w:rPr>
          <w:color w:val="000000"/>
          <w:sz w:val="24"/>
          <w:szCs w:val="28"/>
        </w:rPr>
        <w:t xml:space="preserve"> Базовые цены разработки проектов встроенных ЗС ГО и других специальных сооружений определяются с коэффициентом 1,2 к цене проектирования отдельно стоящего </w:t>
      </w:r>
      <w:r>
        <w:rPr>
          <w:color w:val="000000"/>
          <w:sz w:val="24"/>
          <w:szCs w:val="28"/>
        </w:rPr>
        <w:lastRenderedPageBreak/>
        <w:t>сооружения.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3 Базовые цены проектирования ЗС ГО и других специальных сооружений по классам защиты оп</w:t>
      </w:r>
      <w:r>
        <w:rPr>
          <w:color w:val="000000"/>
          <w:sz w:val="24"/>
          <w:szCs w:val="28"/>
        </w:rPr>
        <w:t>ределяются   с применением следующих коэффициентов: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8"/>
          <w:lang w:val="en-US"/>
        </w:rPr>
        <w:t>- III - 1,1;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8"/>
          <w:lang w:val="en-US"/>
        </w:rPr>
        <w:t>- II - 1,2;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8"/>
          <w:lang w:val="en-US"/>
        </w:rPr>
        <w:t>- I - 1,4.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Классификация защиты учитывает тип и виды уровня расчетных воздействий ядерного оружия и обычных средств поражения. Размеры повышающих коэффициентов могут быть уточнены</w:t>
      </w:r>
      <w:r>
        <w:rPr>
          <w:color w:val="000000"/>
          <w:sz w:val="24"/>
          <w:szCs w:val="28"/>
        </w:rPr>
        <w:t xml:space="preserve"> по отдельным решениям заказчика проекта.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4 Базовые цены разработки проектов ЗС ГО и других специальных сооружений, расположенных в 1, 3 и 4 климатических зонах, определяются по </w:t>
      </w:r>
      <w:hyperlink w:anchor="таблица_5" w:tooltip="Защитные сооружемыя гражданской обороны" w:history="1">
        <w:r>
          <w:rPr>
            <w:rStyle w:val="a3"/>
            <w:sz w:val="24"/>
            <w:szCs w:val="28"/>
          </w:rPr>
          <w:t>т</w:t>
        </w:r>
        <w:r>
          <w:rPr>
            <w:rStyle w:val="a3"/>
            <w:sz w:val="24"/>
            <w:szCs w:val="28"/>
          </w:rPr>
          <w:t>аблицам 5</w:t>
        </w:r>
      </w:hyperlink>
      <w:r>
        <w:rPr>
          <w:color w:val="000000"/>
          <w:sz w:val="24"/>
          <w:szCs w:val="28"/>
        </w:rPr>
        <w:t>÷</w:t>
      </w:r>
      <w:hyperlink w:anchor="таблица_7" w:tooltip="Объекты связи" w:history="1">
        <w:r>
          <w:rPr>
            <w:rStyle w:val="a3"/>
            <w:sz w:val="24"/>
            <w:szCs w:val="28"/>
          </w:rPr>
          <w:t>7</w:t>
        </w:r>
      </w:hyperlink>
      <w:r>
        <w:rPr>
          <w:color w:val="000000"/>
          <w:sz w:val="24"/>
          <w:szCs w:val="28"/>
        </w:rPr>
        <w:t xml:space="preserve"> со следующими коэффициентами для: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- 1-ой климатической зоны -1,1;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- 3-ей климатической зоны - 1,03;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- 4-ой климатической зоны -1,07.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5 Базовые цены разработки проектов ЗС ГО и других специальны</w:t>
      </w:r>
      <w:r>
        <w:rPr>
          <w:color w:val="000000"/>
          <w:sz w:val="24"/>
          <w:szCs w:val="28"/>
        </w:rPr>
        <w:t xml:space="preserve">х сооружений с тремя режимами вентиляции определяются по ценам </w:t>
      </w:r>
      <w:hyperlink w:anchor="таблица_5" w:tooltip="Защитные сооружемыя гражданской обороны" w:history="1">
        <w:r>
          <w:rPr>
            <w:rStyle w:val="a3"/>
            <w:sz w:val="24"/>
            <w:szCs w:val="28"/>
          </w:rPr>
          <w:t>таблицам 5</w:t>
        </w:r>
      </w:hyperlink>
      <w:r>
        <w:rPr>
          <w:color w:val="000000"/>
          <w:sz w:val="24"/>
          <w:szCs w:val="28"/>
        </w:rPr>
        <w:t>÷</w:t>
      </w:r>
      <w:hyperlink w:anchor="таблица_7" w:tooltip="Объекты связи" w:history="1">
        <w:r>
          <w:rPr>
            <w:rStyle w:val="a3"/>
            <w:sz w:val="24"/>
            <w:szCs w:val="28"/>
          </w:rPr>
          <w:t>7</w:t>
        </w:r>
      </w:hyperlink>
      <w:r>
        <w:rPr>
          <w:color w:val="000000"/>
          <w:sz w:val="24"/>
          <w:szCs w:val="28"/>
        </w:rPr>
        <w:t xml:space="preserve"> с коэффициентом 1,2.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6 Базовые цены разработки проек</w:t>
      </w:r>
      <w:r>
        <w:rPr>
          <w:color w:val="000000"/>
          <w:sz w:val="24"/>
          <w:szCs w:val="28"/>
        </w:rPr>
        <w:t xml:space="preserve">тов ЗС ГО и других специальных сооружений, расположенных в водонасыщенных грунтах, определяются по </w:t>
      </w:r>
      <w:hyperlink w:anchor="таблица_5" w:tooltip="Защитные сооружемыя гражданской обороны" w:history="1">
        <w:r>
          <w:rPr>
            <w:rStyle w:val="a3"/>
            <w:sz w:val="24"/>
            <w:szCs w:val="28"/>
          </w:rPr>
          <w:t>таблицам 5</w:t>
        </w:r>
      </w:hyperlink>
      <w:r>
        <w:rPr>
          <w:color w:val="000000"/>
          <w:sz w:val="24"/>
          <w:szCs w:val="28"/>
        </w:rPr>
        <w:t>÷</w:t>
      </w:r>
      <w:hyperlink w:anchor="таблица_7" w:tooltip="Объекты связи" w:history="1">
        <w:r>
          <w:rPr>
            <w:rStyle w:val="a3"/>
            <w:sz w:val="24"/>
            <w:szCs w:val="28"/>
          </w:rPr>
          <w:t>7</w:t>
        </w:r>
      </w:hyperlink>
      <w:r>
        <w:rPr>
          <w:color w:val="000000"/>
          <w:sz w:val="24"/>
          <w:szCs w:val="28"/>
        </w:rPr>
        <w:t xml:space="preserve"> с коэффициентом </w:t>
      </w:r>
      <w:r>
        <w:rPr>
          <w:color w:val="000000"/>
          <w:sz w:val="24"/>
          <w:szCs w:val="28"/>
        </w:rPr>
        <w:t>1,2.</w:t>
      </w:r>
    </w:p>
    <w:p w:rsidR="00000000" w:rsidRDefault="009C083C">
      <w:pPr>
        <w:pStyle w:val="a8"/>
        <w:rPr>
          <w:szCs w:val="24"/>
        </w:rPr>
      </w:pPr>
      <w:r>
        <w:t>7 Базовые цены проектирования сооружений, не предусмотренных ценами настоящей главы Справочника, но проектируемых в защищенном варианте, определяются по соответствующим Справочникам базовых цен с применением повышающих коэффициентов по классам защиты: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- </w:t>
      </w:r>
      <w:r>
        <w:rPr>
          <w:color w:val="000000"/>
          <w:sz w:val="24"/>
          <w:szCs w:val="28"/>
          <w:lang w:val="en-US"/>
        </w:rPr>
        <w:t>IV</w:t>
      </w:r>
      <w:r>
        <w:rPr>
          <w:color w:val="000000"/>
          <w:sz w:val="24"/>
          <w:szCs w:val="28"/>
        </w:rPr>
        <w:t xml:space="preserve"> и </w:t>
      </w:r>
      <w:r>
        <w:rPr>
          <w:color w:val="000000"/>
          <w:sz w:val="24"/>
          <w:szCs w:val="28"/>
          <w:lang w:val="en-US"/>
        </w:rPr>
        <w:t>V</w:t>
      </w:r>
      <w:r>
        <w:rPr>
          <w:color w:val="000000"/>
          <w:sz w:val="24"/>
          <w:szCs w:val="28"/>
        </w:rPr>
        <w:t xml:space="preserve"> - 1,2;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- </w:t>
      </w:r>
      <w:r>
        <w:rPr>
          <w:color w:val="000000"/>
          <w:sz w:val="24"/>
          <w:szCs w:val="28"/>
          <w:lang w:val="en-US"/>
        </w:rPr>
        <w:t>II</w:t>
      </w:r>
      <w:r>
        <w:rPr>
          <w:rFonts w:hAnsi="Arial"/>
          <w:color w:val="000000"/>
          <w:sz w:val="24"/>
          <w:szCs w:val="28"/>
        </w:rPr>
        <w:t xml:space="preserve"> - 1,4;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- </w:t>
      </w:r>
      <w:r>
        <w:rPr>
          <w:color w:val="000000"/>
          <w:sz w:val="24"/>
          <w:szCs w:val="28"/>
          <w:lang w:val="en-US"/>
        </w:rPr>
        <w:t>I</w:t>
      </w:r>
      <w:r>
        <w:rPr>
          <w:color w:val="000000"/>
          <w:sz w:val="24"/>
          <w:szCs w:val="28"/>
        </w:rPr>
        <w:t xml:space="preserve"> - 1,6.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8 Базовые цены проектных работ, приведенные в </w:t>
      </w:r>
      <w:hyperlink w:anchor="таблица_5" w:tooltip="Защитные сооружемыя гражданской обороны" w:history="1">
        <w:r>
          <w:rPr>
            <w:rStyle w:val="a3"/>
            <w:sz w:val="24"/>
            <w:szCs w:val="28"/>
          </w:rPr>
          <w:t>таблицам 5</w:t>
        </w:r>
      </w:hyperlink>
      <w:r>
        <w:rPr>
          <w:color w:val="000000"/>
          <w:sz w:val="24"/>
          <w:szCs w:val="28"/>
        </w:rPr>
        <w:t>÷</w:t>
      </w:r>
      <w:hyperlink w:anchor="таблица_7" w:tooltip="Объекты связи" w:history="1">
        <w:r>
          <w:rPr>
            <w:rStyle w:val="a3"/>
            <w:sz w:val="24"/>
            <w:szCs w:val="28"/>
          </w:rPr>
          <w:t>7</w:t>
        </w:r>
      </w:hyperlink>
      <w:r>
        <w:rPr>
          <w:color w:val="000000"/>
          <w:sz w:val="24"/>
          <w:szCs w:val="28"/>
        </w:rPr>
        <w:t xml:space="preserve"> Справочника, не учитывают </w:t>
      </w:r>
      <w:r>
        <w:rPr>
          <w:color w:val="000000"/>
          <w:sz w:val="24"/>
          <w:szCs w:val="28"/>
        </w:rPr>
        <w:t>стоимость работ по выполнению спецрасчетов.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9 Цена проектной документации на реконструкцию ЗС ГО и других специальных сооружений определяется с применением повышающего коэффициента, значения которого устанавливаются при;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частичной реконструкции сооружени</w:t>
      </w:r>
      <w:r>
        <w:rPr>
          <w:color w:val="000000"/>
          <w:sz w:val="24"/>
          <w:szCs w:val="28"/>
        </w:rPr>
        <w:t>я с временным прекращением функционирования и снятием защиты - 1,1-1,3;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частичной реконструкции сооружения с временным прекращением функционирования и без снятия защиты - 1,3-1,5;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частичной реконструкции сооружения без прекращения функционирования и бе</w:t>
      </w:r>
      <w:r>
        <w:rPr>
          <w:color w:val="000000"/>
          <w:sz w:val="24"/>
          <w:szCs w:val="28"/>
        </w:rPr>
        <w:t>з снятия защиты - 1,5-1,7;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полной реконструкции сооружения с временным прекращением функционирования и снятием защиты - 1,7-1,8;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полной реконструкции сооружения с временным прекращением функционирования и без снятия защиты - 1,8-2,0.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10 Базовые цены пр</w:t>
      </w:r>
      <w:r>
        <w:rPr>
          <w:color w:val="000000"/>
          <w:sz w:val="24"/>
          <w:szCs w:val="28"/>
        </w:rPr>
        <w:t>оектирования убежищ для нетранспортабельных больных определяются по ценам таблицы 5 с коэффициентом 1,3.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11 Базовые цены разработки проекта встроенного или отдельно стоящего противорадиационного укрытия (ПРУ) определяются по ценам проектирования соответств</w:t>
      </w:r>
      <w:r>
        <w:rPr>
          <w:color w:val="000000"/>
          <w:sz w:val="24"/>
          <w:szCs w:val="28"/>
        </w:rPr>
        <w:t>енно, встроенного или отдельно стоящего ЗС ГО со следующими коэффициентами: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для ПРУ групп П-1 и П-3 - 0,4;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для ПРУ групп П-2 и П-4 -0,35;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- для ПРУ группы П-5 - 0,3.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12 При проектировании объектов двойного назначения (объектов с совмещением функций </w:t>
      </w:r>
      <w:r>
        <w:rPr>
          <w:color w:val="000000"/>
          <w:sz w:val="24"/>
          <w:szCs w:val="28"/>
        </w:rPr>
        <w:lastRenderedPageBreak/>
        <w:t>ЗС ГО и функций различного назначения в мирное время) стоимость разработки проекта рассчитывается как сумма цены на проектирование ЗС ГО по настоящему Справочнику в полном объеме и цены на проектирование сооружения для нужд мирного времени по соответствующ</w:t>
      </w:r>
      <w:r>
        <w:rPr>
          <w:color w:val="000000"/>
          <w:sz w:val="24"/>
          <w:szCs w:val="28"/>
        </w:rPr>
        <w:t>им Справочникам базовых цен с коэффициентом 0,5.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 xml:space="preserve">13 Стоимость проектирования антенно-фидерных устройств ценами </w:t>
      </w:r>
      <w:hyperlink w:anchor="таблица_6" w:tooltip="Командные пункты и пункты управления" w:history="1">
        <w:r>
          <w:rPr>
            <w:rStyle w:val="a3"/>
            <w:sz w:val="24"/>
            <w:szCs w:val="28"/>
          </w:rPr>
          <w:t>таблиц 6</w:t>
        </w:r>
      </w:hyperlink>
      <w:r>
        <w:rPr>
          <w:color w:val="000000"/>
          <w:sz w:val="24"/>
          <w:szCs w:val="28"/>
        </w:rPr>
        <w:t>÷</w:t>
      </w:r>
      <w:hyperlink w:anchor="таблица_7" w:tooltip="Объекты связи" w:history="1">
        <w:r>
          <w:rPr>
            <w:rStyle w:val="a3"/>
            <w:sz w:val="24"/>
            <w:szCs w:val="28"/>
          </w:rPr>
          <w:t>7</w:t>
        </w:r>
      </w:hyperlink>
      <w:r>
        <w:rPr>
          <w:color w:val="000000"/>
          <w:sz w:val="24"/>
          <w:szCs w:val="28"/>
        </w:rPr>
        <w:t xml:space="preserve"> не учтена</w:t>
      </w:r>
      <w:r>
        <w:rPr>
          <w:color w:val="000000"/>
          <w:sz w:val="24"/>
          <w:szCs w:val="28"/>
        </w:rPr>
        <w:t xml:space="preserve"> и определяется по Справочнику базовых цен на проектные работы для строительства "Объекты связи" изд. 1996 г.</w:t>
      </w:r>
    </w:p>
    <w:p w:rsidR="00000000" w:rsidRDefault="009C083C">
      <w:pPr>
        <w:pStyle w:val="3"/>
        <w:spacing w:before="120" w:after="0"/>
        <w:jc w:val="right"/>
        <w:rPr>
          <w:rFonts w:eastAsia="Times New Roman"/>
          <w:i/>
          <w:iCs/>
          <w:color w:val="000000"/>
          <w:sz w:val="24"/>
          <w:szCs w:val="28"/>
        </w:rPr>
      </w:pPr>
      <w:bookmarkStart w:id="18" w:name="_Toc129164745"/>
      <w:r>
        <w:rPr>
          <w:rFonts w:ascii="Times New Roman" w:eastAsia="Times New Roman" w:hAnsi="Times New Roman" w:cs="Times New Roman"/>
          <w:sz w:val="24"/>
        </w:rPr>
        <w:t>Таблица 5</w:t>
      </w:r>
      <w:bookmarkEnd w:id="18"/>
    </w:p>
    <w:p w:rsidR="00000000" w:rsidRDefault="009C083C">
      <w:pPr>
        <w:pStyle w:val="3"/>
        <w:spacing w:before="120" w:after="120"/>
        <w:jc w:val="center"/>
        <w:rPr>
          <w:rFonts w:eastAsia="Times New Roman"/>
          <w:sz w:val="24"/>
          <w:szCs w:val="24"/>
        </w:rPr>
      </w:pPr>
      <w:bookmarkStart w:id="19" w:name="_Toc129164746"/>
      <w:bookmarkStart w:id="20" w:name="таблица_5"/>
      <w:r>
        <w:rPr>
          <w:rFonts w:ascii="Times New Roman" w:eastAsia="Times New Roman" w:hAnsi="Times New Roman" w:cs="Times New Roman"/>
          <w:sz w:val="24"/>
        </w:rPr>
        <w:t>Защитные сооружения гражданской обороны</w:t>
      </w:r>
      <w:bookmarkEnd w:id="19"/>
      <w:bookmarkEnd w:id="20"/>
    </w:p>
    <w:tbl>
      <w:tblPr>
        <w:tblW w:w="4989" w:type="pct"/>
        <w:jc w:val="center"/>
        <w:tblInd w:w="16" w:type="dxa"/>
        <w:tblCellMar>
          <w:left w:w="40" w:type="dxa"/>
          <w:right w:w="40" w:type="dxa"/>
        </w:tblCellMar>
        <w:tblLook w:val="04A0"/>
      </w:tblPr>
      <w:tblGrid>
        <w:gridCol w:w="293"/>
        <w:gridCol w:w="4132"/>
        <w:gridCol w:w="1715"/>
        <w:gridCol w:w="1973"/>
        <w:gridCol w:w="1587"/>
      </w:tblGrid>
      <w:tr w:rsidR="00000000">
        <w:trPr>
          <w:trHeight w:val="680"/>
          <w:jc w:val="center"/>
        </w:trPr>
        <w:tc>
          <w:tcPr>
            <w:tcW w:w="228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Наименование объекта проектирования</w:t>
            </w:r>
          </w:p>
        </w:tc>
        <w:tc>
          <w:tcPr>
            <w:tcW w:w="8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Единица измерения основного показателя объекта</w:t>
            </w:r>
          </w:p>
        </w:tc>
        <w:tc>
          <w:tcPr>
            <w:tcW w:w="18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Постоянные величины базовой цены разработки рабочей документации тыс. руб.</w:t>
            </w:r>
          </w:p>
        </w:tc>
      </w:tr>
      <w:tr w:rsidR="00000000">
        <w:trPr>
          <w:trHeight w:val="317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i/>
                <w:iCs/>
                <w:color w:val="000000"/>
                <w:szCs w:val="26"/>
              </w:rPr>
              <w:t>а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i/>
                <w:iCs/>
                <w:color w:val="000000"/>
                <w:szCs w:val="28"/>
              </w:rPr>
              <w:t>в</w:t>
            </w:r>
          </w:p>
        </w:tc>
      </w:tr>
      <w:tr w:rsidR="00000000">
        <w:trPr>
          <w:trHeight w:val="310"/>
          <w:jc w:val="center"/>
        </w:trPr>
        <w:tc>
          <w:tcPr>
            <w:tcW w:w="22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4</w:t>
            </w:r>
          </w:p>
        </w:tc>
      </w:tr>
      <w:tr w:rsidR="00000000">
        <w:trPr>
          <w:trHeight w:val="310"/>
          <w:jc w:val="center"/>
        </w:trPr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</w:p>
        </w:tc>
        <w:tc>
          <w:tcPr>
            <w:tcW w:w="213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ЗС ГО вместимостью, чел.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кол-во укрываемых чел.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302"/>
          <w:jc w:val="center"/>
        </w:trPr>
        <w:tc>
          <w:tcPr>
            <w:tcW w:w="151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bookmarkStart w:id="21" w:name="пункт_1_таблица_5"/>
            <w:r>
              <w:rPr>
                <w:color w:val="000000"/>
                <w:szCs w:val="28"/>
              </w:rPr>
              <w:t>1</w:t>
            </w:r>
            <w:bookmarkEnd w:id="21"/>
          </w:p>
        </w:tc>
        <w:tc>
          <w:tcPr>
            <w:tcW w:w="213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до 100</w:t>
            </w:r>
          </w:p>
        </w:tc>
        <w:tc>
          <w:tcPr>
            <w:tcW w:w="8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760,0</w:t>
            </w:r>
          </w:p>
        </w:tc>
        <w:tc>
          <w:tcPr>
            <w:tcW w:w="8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-</w:t>
            </w:r>
          </w:p>
        </w:tc>
      </w:tr>
      <w:tr w:rsidR="00000000">
        <w:trPr>
          <w:trHeight w:val="310"/>
          <w:jc w:val="center"/>
        </w:trPr>
        <w:tc>
          <w:tcPr>
            <w:tcW w:w="151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св. 100 до 500</w:t>
            </w:r>
          </w:p>
        </w:tc>
        <w:tc>
          <w:tcPr>
            <w:tcW w:w="8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450,0</w:t>
            </w:r>
          </w:p>
        </w:tc>
        <w:tc>
          <w:tcPr>
            <w:tcW w:w="8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3,100</w:t>
            </w:r>
          </w:p>
        </w:tc>
      </w:tr>
      <w:tr w:rsidR="00000000">
        <w:trPr>
          <w:trHeight w:val="288"/>
          <w:jc w:val="center"/>
        </w:trPr>
        <w:tc>
          <w:tcPr>
            <w:tcW w:w="151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 xml:space="preserve">" 500 </w:t>
            </w:r>
            <w:r>
              <w:rPr>
                <w:color w:val="000000"/>
                <w:szCs w:val="26"/>
              </w:rPr>
              <w:t>" 1000</w:t>
            </w:r>
          </w:p>
        </w:tc>
        <w:tc>
          <w:tcPr>
            <w:tcW w:w="8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1450,0</w:t>
            </w:r>
          </w:p>
        </w:tc>
        <w:tc>
          <w:tcPr>
            <w:tcW w:w="8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1,100</w:t>
            </w:r>
          </w:p>
        </w:tc>
      </w:tr>
      <w:tr w:rsidR="00000000">
        <w:trPr>
          <w:trHeight w:val="302"/>
          <w:jc w:val="center"/>
        </w:trPr>
        <w:tc>
          <w:tcPr>
            <w:tcW w:w="151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" 1000 " 1500</w:t>
            </w:r>
          </w:p>
        </w:tc>
        <w:tc>
          <w:tcPr>
            <w:tcW w:w="8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1750,0</w:t>
            </w:r>
          </w:p>
        </w:tc>
        <w:tc>
          <w:tcPr>
            <w:tcW w:w="8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0,800</w:t>
            </w:r>
          </w:p>
        </w:tc>
      </w:tr>
      <w:tr w:rsidR="00000000">
        <w:trPr>
          <w:trHeight w:val="295"/>
          <w:jc w:val="center"/>
        </w:trPr>
        <w:tc>
          <w:tcPr>
            <w:tcW w:w="151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" 1500 " 2000</w:t>
            </w:r>
          </w:p>
        </w:tc>
        <w:tc>
          <w:tcPr>
            <w:tcW w:w="8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1915,0</w:t>
            </w:r>
          </w:p>
        </w:tc>
        <w:tc>
          <w:tcPr>
            <w:tcW w:w="8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0,690</w:t>
            </w:r>
          </w:p>
        </w:tc>
      </w:tr>
      <w:tr w:rsidR="00000000">
        <w:trPr>
          <w:trHeight w:val="302"/>
          <w:jc w:val="center"/>
        </w:trPr>
        <w:tc>
          <w:tcPr>
            <w:tcW w:w="151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6</w:t>
            </w: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12"/>
              </w:rPr>
              <w:t xml:space="preserve">" </w:t>
            </w:r>
            <w:r>
              <w:rPr>
                <w:color w:val="000000"/>
                <w:szCs w:val="26"/>
              </w:rPr>
              <w:t>2000 " 2500</w:t>
            </w:r>
          </w:p>
        </w:tc>
        <w:tc>
          <w:tcPr>
            <w:tcW w:w="8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1925,0</w:t>
            </w:r>
          </w:p>
        </w:tc>
        <w:tc>
          <w:tcPr>
            <w:tcW w:w="8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0,685</w:t>
            </w:r>
          </w:p>
        </w:tc>
      </w:tr>
      <w:tr w:rsidR="00000000">
        <w:trPr>
          <w:trHeight w:val="295"/>
          <w:jc w:val="center"/>
        </w:trPr>
        <w:tc>
          <w:tcPr>
            <w:tcW w:w="151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7</w:t>
            </w:r>
          </w:p>
        </w:tc>
        <w:tc>
          <w:tcPr>
            <w:tcW w:w="2130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12"/>
              </w:rPr>
              <w:t xml:space="preserve">" </w:t>
            </w:r>
            <w:r>
              <w:rPr>
                <w:color w:val="000000"/>
                <w:szCs w:val="26"/>
              </w:rPr>
              <w:t>2500 " 3000</w:t>
            </w:r>
          </w:p>
        </w:tc>
        <w:tc>
          <w:tcPr>
            <w:tcW w:w="88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1930,0</w:t>
            </w:r>
          </w:p>
        </w:tc>
        <w:tc>
          <w:tcPr>
            <w:tcW w:w="8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0,683</w:t>
            </w:r>
          </w:p>
        </w:tc>
      </w:tr>
      <w:tr w:rsidR="00000000">
        <w:trPr>
          <w:trHeight w:val="338"/>
          <w:jc w:val="center"/>
        </w:trPr>
        <w:tc>
          <w:tcPr>
            <w:tcW w:w="15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bookmarkStart w:id="22" w:name="пункт_8_таблица_5" w:colFirst="0" w:colLast="0"/>
            <w:r>
              <w:rPr>
                <w:color w:val="000000"/>
                <w:szCs w:val="26"/>
              </w:rPr>
              <w:t>8</w:t>
            </w:r>
          </w:p>
        </w:tc>
        <w:tc>
          <w:tcPr>
            <w:tcW w:w="21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12"/>
              </w:rPr>
              <w:t xml:space="preserve">" </w:t>
            </w:r>
            <w:r>
              <w:rPr>
                <w:color w:val="000000"/>
                <w:szCs w:val="26"/>
              </w:rPr>
              <w:t>3000</w:t>
            </w:r>
          </w:p>
        </w:tc>
        <w:tc>
          <w:tcPr>
            <w:tcW w:w="88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1933,0</w:t>
            </w:r>
          </w:p>
        </w:tc>
        <w:tc>
          <w:tcPr>
            <w:tcW w:w="8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0,682</w:t>
            </w:r>
          </w:p>
        </w:tc>
      </w:tr>
    </w:tbl>
    <w:p w:rsidR="00000000" w:rsidRDefault="009C083C">
      <w:pPr>
        <w:pStyle w:val="3"/>
        <w:spacing w:before="120" w:after="0"/>
        <w:jc w:val="right"/>
        <w:rPr>
          <w:rFonts w:eastAsia="Times New Roman"/>
          <w:i/>
          <w:iCs/>
          <w:color w:val="000000"/>
          <w:sz w:val="24"/>
          <w:szCs w:val="28"/>
        </w:rPr>
      </w:pPr>
      <w:bookmarkStart w:id="23" w:name="_Toc129164747"/>
      <w:bookmarkEnd w:id="22"/>
      <w:r>
        <w:rPr>
          <w:rFonts w:ascii="Times New Roman" w:eastAsia="Times New Roman" w:hAnsi="Times New Roman" w:cs="Times New Roman"/>
          <w:sz w:val="24"/>
        </w:rPr>
        <w:t>Таблица 6</w:t>
      </w:r>
      <w:bookmarkEnd w:id="23"/>
    </w:p>
    <w:p w:rsidR="00000000" w:rsidRDefault="009C083C">
      <w:pPr>
        <w:pStyle w:val="3"/>
        <w:spacing w:before="120" w:after="120"/>
        <w:jc w:val="center"/>
        <w:rPr>
          <w:rFonts w:eastAsia="Times New Roman"/>
          <w:sz w:val="24"/>
          <w:szCs w:val="24"/>
        </w:rPr>
      </w:pPr>
      <w:bookmarkStart w:id="24" w:name="_Toc129164748"/>
      <w:bookmarkStart w:id="25" w:name="таблица_6"/>
      <w:r>
        <w:rPr>
          <w:rFonts w:ascii="Times New Roman" w:eastAsia="Times New Roman" w:hAnsi="Times New Roman" w:cs="Times New Roman"/>
          <w:sz w:val="24"/>
        </w:rPr>
        <w:t xml:space="preserve">Командные </w:t>
      </w:r>
      <w:r>
        <w:rPr>
          <w:rFonts w:ascii="Times New Roman" w:eastAsia="Times New Roman" w:hAnsi="Times New Roman" w:cs="Times New Roman"/>
          <w:sz w:val="24"/>
        </w:rPr>
        <w:t>пункты и пункты управления</w:t>
      </w:r>
      <w:bookmarkEnd w:id="24"/>
      <w:bookmarkEnd w:id="25"/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360"/>
        <w:gridCol w:w="4913"/>
        <w:gridCol w:w="1709"/>
        <w:gridCol w:w="1701"/>
        <w:gridCol w:w="1038"/>
      </w:tblGrid>
      <w:tr w:rsidR="00000000">
        <w:trPr>
          <w:trHeight w:val="1023"/>
          <w:jc w:val="center"/>
        </w:trPr>
        <w:tc>
          <w:tcPr>
            <w:tcW w:w="27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Наименование объекта проектирования</w:t>
            </w:r>
          </w:p>
        </w:tc>
        <w:tc>
          <w:tcPr>
            <w:tcW w:w="8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Единица измерения основного показателя объекта</w:t>
            </w: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Постоянные величины базовой цены разработки рабочей документации тыс. руб.</w:t>
            </w:r>
          </w:p>
        </w:tc>
      </w:tr>
      <w:tr w:rsidR="00000000">
        <w:trPr>
          <w:trHeight w:val="310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6"/>
              </w:rPr>
              <w:t>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6"/>
              </w:rPr>
              <w:t>в</w:t>
            </w:r>
          </w:p>
        </w:tc>
      </w:tr>
      <w:tr w:rsidR="00000000">
        <w:trPr>
          <w:trHeight w:val="317"/>
          <w:jc w:val="center"/>
        </w:trPr>
        <w:tc>
          <w:tcPr>
            <w:tcW w:w="27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4</w:t>
            </w:r>
          </w:p>
        </w:tc>
      </w:tr>
      <w:tr w:rsidR="00000000">
        <w:trPr>
          <w:trHeight w:val="120"/>
          <w:jc w:val="center"/>
        </w:trPr>
        <w:tc>
          <w:tcPr>
            <w:tcW w:w="2712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>КП, ПУ (защищенные), общей площадью, м</w:t>
            </w:r>
            <w:r>
              <w:rPr>
                <w:color w:val="000000"/>
                <w:szCs w:val="26"/>
                <w:vertAlign w:val="superscript"/>
              </w:rPr>
              <w:t>2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7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000000">
        <w:trPr>
          <w:trHeight w:val="240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bookmarkStart w:id="26" w:name="п_1"/>
            <w:r>
              <w:rPr>
                <w:color w:val="000000"/>
                <w:szCs w:val="26"/>
              </w:rPr>
              <w:t>1</w:t>
            </w:r>
            <w:bookmarkEnd w:id="26"/>
          </w:p>
        </w:tc>
        <w:tc>
          <w:tcPr>
            <w:tcW w:w="252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до 3000</w:t>
            </w:r>
          </w:p>
        </w:tc>
        <w:tc>
          <w:tcPr>
            <w:tcW w:w="8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  <w:vertAlign w:val="superscript"/>
              </w:rPr>
            </w:pPr>
            <w:r>
              <w:rPr>
                <w:color w:val="000000"/>
                <w:szCs w:val="26"/>
              </w:rPr>
              <w:t>м</w:t>
            </w:r>
            <w:r>
              <w:rPr>
                <w:color w:val="000000"/>
                <w:szCs w:val="26"/>
                <w:vertAlign w:val="superscript"/>
              </w:rPr>
              <w:t>2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500,0</w:t>
            </w:r>
          </w:p>
        </w:tc>
        <w:tc>
          <w:tcPr>
            <w:tcW w:w="5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16,00</w:t>
            </w:r>
          </w:p>
        </w:tc>
      </w:tr>
      <w:tr w:rsidR="00000000">
        <w:trPr>
          <w:trHeight w:val="225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252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св.3000 до 4500</w:t>
            </w:r>
          </w:p>
        </w:tc>
        <w:tc>
          <w:tcPr>
            <w:tcW w:w="8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15500,0</w:t>
            </w:r>
          </w:p>
        </w:tc>
        <w:tc>
          <w:tcPr>
            <w:tcW w:w="5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11,00</w:t>
            </w:r>
          </w:p>
        </w:tc>
      </w:tr>
      <w:tr w:rsidR="00000000">
        <w:trPr>
          <w:trHeight w:val="105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252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4500 " 6000</w:t>
            </w:r>
          </w:p>
        </w:tc>
        <w:tc>
          <w:tcPr>
            <w:tcW w:w="8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25985,0</w:t>
            </w:r>
          </w:p>
        </w:tc>
        <w:tc>
          <w:tcPr>
            <w:tcW w:w="5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8,67</w:t>
            </w:r>
          </w:p>
        </w:tc>
      </w:tr>
      <w:tr w:rsidR="00000000">
        <w:trPr>
          <w:trHeight w:val="225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252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6000 " 7500</w:t>
            </w:r>
          </w:p>
        </w:tc>
        <w:tc>
          <w:tcPr>
            <w:tcW w:w="8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40805,0</w:t>
            </w:r>
          </w:p>
        </w:tc>
        <w:tc>
          <w:tcPr>
            <w:tcW w:w="5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6,20</w:t>
            </w:r>
          </w:p>
        </w:tc>
      </w:tr>
      <w:tr w:rsidR="00000000">
        <w:trPr>
          <w:trHeight w:val="225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252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7500 " 8500</w:t>
            </w:r>
          </w:p>
        </w:tc>
        <w:tc>
          <w:tcPr>
            <w:tcW w:w="8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51680,0</w:t>
            </w:r>
          </w:p>
        </w:tc>
        <w:tc>
          <w:tcPr>
            <w:tcW w:w="5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4,75</w:t>
            </w:r>
          </w:p>
        </w:tc>
      </w:tr>
      <w:tr w:rsidR="00000000">
        <w:trPr>
          <w:trHeight w:val="169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</w:t>
            </w:r>
          </w:p>
        </w:tc>
        <w:tc>
          <w:tcPr>
            <w:tcW w:w="252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8500 " 10500</w:t>
            </w:r>
          </w:p>
        </w:tc>
        <w:tc>
          <w:tcPr>
            <w:tcW w:w="8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64430,0</w:t>
            </w:r>
          </w:p>
        </w:tc>
        <w:tc>
          <w:tcPr>
            <w:tcW w:w="5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3,25</w:t>
            </w:r>
          </w:p>
        </w:tc>
      </w:tr>
      <w:tr w:rsidR="00000000">
        <w:trPr>
          <w:trHeight w:val="225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</w:t>
            </w:r>
          </w:p>
        </w:tc>
        <w:tc>
          <w:tcPr>
            <w:tcW w:w="2527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10500 " 14500</w:t>
            </w:r>
          </w:p>
        </w:tc>
        <w:tc>
          <w:tcPr>
            <w:tcW w:w="8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89315,0</w:t>
            </w:r>
          </w:p>
        </w:tc>
        <w:tc>
          <w:tcPr>
            <w:tcW w:w="5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0,88</w:t>
            </w:r>
          </w:p>
        </w:tc>
      </w:tr>
      <w:tr w:rsidR="00000000">
        <w:trPr>
          <w:trHeight w:val="302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bookmarkStart w:id="27" w:name="п_8"/>
            <w:r>
              <w:rPr>
                <w:color w:val="000000"/>
                <w:szCs w:val="26"/>
              </w:rPr>
              <w:t>8</w:t>
            </w:r>
            <w:bookmarkEnd w:id="27"/>
          </w:p>
        </w:tc>
        <w:tc>
          <w:tcPr>
            <w:tcW w:w="25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14500 " 20500 и более</w:t>
            </w:r>
          </w:p>
        </w:tc>
        <w:tc>
          <w:tcPr>
            <w:tcW w:w="8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87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96855,0</w:t>
            </w:r>
          </w:p>
        </w:tc>
        <w:tc>
          <w:tcPr>
            <w:tcW w:w="5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0,36</w:t>
            </w:r>
          </w:p>
        </w:tc>
      </w:tr>
    </w:tbl>
    <w:p w:rsidR="00000000" w:rsidRDefault="009C083C">
      <w:pPr>
        <w:pStyle w:val="3"/>
        <w:spacing w:before="120" w:after="0"/>
        <w:jc w:val="right"/>
        <w:rPr>
          <w:rFonts w:ascii="Times New Roman" w:eastAsia="Times New Roman" w:hAnsi="Times New Roman" w:cs="Times New Roman"/>
          <w:sz w:val="24"/>
        </w:rPr>
      </w:pPr>
      <w:bookmarkStart w:id="28" w:name="_Toc129164749"/>
      <w:r>
        <w:rPr>
          <w:rFonts w:ascii="Times New Roman" w:eastAsia="Times New Roman" w:hAnsi="Times New Roman" w:cs="Times New Roman"/>
          <w:sz w:val="24"/>
        </w:rPr>
        <w:t>Таблица 7</w:t>
      </w:r>
      <w:bookmarkEnd w:id="28"/>
    </w:p>
    <w:p w:rsidR="00000000" w:rsidRDefault="009C083C">
      <w:pPr>
        <w:pStyle w:val="3"/>
        <w:spacing w:before="120" w:after="120"/>
        <w:jc w:val="center"/>
        <w:rPr>
          <w:rFonts w:eastAsia="Times New Roman"/>
          <w:sz w:val="24"/>
          <w:szCs w:val="24"/>
        </w:rPr>
      </w:pPr>
      <w:bookmarkStart w:id="29" w:name="_Toc129164750"/>
      <w:bookmarkStart w:id="30" w:name="таблица_7"/>
      <w:r>
        <w:rPr>
          <w:rFonts w:ascii="Times New Roman" w:eastAsia="Times New Roman" w:hAnsi="Times New Roman" w:cs="Times New Roman"/>
          <w:sz w:val="24"/>
        </w:rPr>
        <w:t>Объекты связи</w:t>
      </w:r>
      <w:bookmarkEnd w:id="29"/>
      <w:bookmarkEnd w:id="30"/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360"/>
        <w:gridCol w:w="4851"/>
        <w:gridCol w:w="1728"/>
        <w:gridCol w:w="1207"/>
        <w:gridCol w:w="1575"/>
      </w:tblGrid>
      <w:tr w:rsidR="00000000">
        <w:trPr>
          <w:trHeight w:val="651"/>
          <w:jc w:val="center"/>
        </w:trPr>
        <w:tc>
          <w:tcPr>
            <w:tcW w:w="268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Наименование объекта проектирования</w:t>
            </w:r>
          </w:p>
        </w:tc>
        <w:tc>
          <w:tcPr>
            <w:tcW w:w="8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Единица измерения основного показателя объекта</w:t>
            </w:r>
          </w:p>
        </w:tc>
        <w:tc>
          <w:tcPr>
            <w:tcW w:w="14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Постоянные величины базовой  цены разработки рабочей документации тыс. руб.</w:t>
            </w:r>
          </w:p>
        </w:tc>
      </w:tr>
      <w:tr w:rsidR="00000000">
        <w:trPr>
          <w:trHeight w:val="317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C083C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6"/>
              </w:rPr>
              <w:t>а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6"/>
              </w:rPr>
              <w:t>в</w:t>
            </w:r>
          </w:p>
        </w:tc>
      </w:tr>
      <w:tr w:rsidR="00000000">
        <w:trPr>
          <w:trHeight w:val="310"/>
          <w:jc w:val="center"/>
        </w:trPr>
        <w:tc>
          <w:tcPr>
            <w:tcW w:w="26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4</w:t>
            </w:r>
          </w:p>
        </w:tc>
      </w:tr>
      <w:tr w:rsidR="00000000">
        <w:trPr>
          <w:trHeight w:val="150"/>
          <w:jc w:val="center"/>
        </w:trPr>
        <w:tc>
          <w:tcPr>
            <w:tcW w:w="268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color w:val="000000"/>
                <w:szCs w:val="26"/>
              </w:rPr>
              <w:t xml:space="preserve">Объекты связи (УС, ПРЦ, ПДРЦ) защищенные, общей </w:t>
            </w:r>
            <w:r>
              <w:rPr>
                <w:color w:val="000000"/>
                <w:szCs w:val="26"/>
              </w:rPr>
              <w:lastRenderedPageBreak/>
              <w:t>площадью, м</w:t>
            </w:r>
            <w:r>
              <w:rPr>
                <w:color w:val="000000"/>
                <w:szCs w:val="26"/>
                <w:vertAlign w:val="superscript"/>
              </w:rPr>
              <w:t>2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szCs w:val="24"/>
              </w:rPr>
            </w:pPr>
          </w:p>
        </w:tc>
      </w:tr>
      <w:tr w:rsidR="00000000">
        <w:trPr>
          <w:trHeight w:val="150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1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от 2000 до 2500</w:t>
            </w:r>
          </w:p>
        </w:tc>
        <w:tc>
          <w:tcPr>
            <w:tcW w:w="8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  <w:vertAlign w:val="superscript"/>
              </w:rPr>
            </w:pPr>
            <w:r>
              <w:rPr>
                <w:color w:val="000000"/>
                <w:szCs w:val="26"/>
              </w:rPr>
              <w:t>м</w:t>
            </w:r>
            <w:r>
              <w:rPr>
                <w:color w:val="000000"/>
                <w:szCs w:val="26"/>
                <w:vertAlign w:val="superscript"/>
              </w:rPr>
              <w:t>2</w:t>
            </w:r>
          </w:p>
        </w:tc>
        <w:tc>
          <w:tcPr>
            <w:tcW w:w="6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13065,6</w:t>
            </w:r>
          </w:p>
        </w:tc>
        <w:tc>
          <w:tcPr>
            <w:tcW w:w="8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4,380</w:t>
            </w:r>
          </w:p>
        </w:tc>
      </w:tr>
      <w:tr w:rsidR="00000000">
        <w:trPr>
          <w:trHeight w:val="270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св.2500 " 3000</w:t>
            </w:r>
          </w:p>
        </w:tc>
        <w:tc>
          <w:tcPr>
            <w:tcW w:w="8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6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18290,6</w:t>
            </w:r>
          </w:p>
        </w:tc>
        <w:tc>
          <w:tcPr>
            <w:tcW w:w="8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2,290</w:t>
            </w:r>
          </w:p>
        </w:tc>
      </w:tr>
      <w:tr w:rsidR="00000000">
        <w:trPr>
          <w:trHeight w:val="225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3000 " 4500</w:t>
            </w:r>
          </w:p>
        </w:tc>
        <w:tc>
          <w:tcPr>
            <w:tcW w:w="8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6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22790,6</w:t>
            </w:r>
          </w:p>
        </w:tc>
        <w:tc>
          <w:tcPr>
            <w:tcW w:w="8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0,790</w:t>
            </w:r>
          </w:p>
        </w:tc>
      </w:tr>
      <w:tr w:rsidR="00000000">
        <w:trPr>
          <w:trHeight w:val="225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4500 " 5500</w:t>
            </w:r>
          </w:p>
        </w:tc>
        <w:tc>
          <w:tcPr>
            <w:tcW w:w="8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6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24005,6</w:t>
            </w:r>
          </w:p>
        </w:tc>
        <w:tc>
          <w:tcPr>
            <w:tcW w:w="8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0,520</w:t>
            </w:r>
          </w:p>
        </w:tc>
      </w:tr>
      <w:tr w:rsidR="00000000">
        <w:trPr>
          <w:trHeight w:val="225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5500 " 6000</w:t>
            </w:r>
          </w:p>
        </w:tc>
        <w:tc>
          <w:tcPr>
            <w:tcW w:w="8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6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24979,1</w:t>
            </w:r>
          </w:p>
        </w:tc>
        <w:tc>
          <w:tcPr>
            <w:tcW w:w="8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0,343</w:t>
            </w:r>
          </w:p>
        </w:tc>
      </w:tr>
      <w:tr w:rsidR="00000000">
        <w:trPr>
          <w:trHeight w:val="225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6000 " 7500</w:t>
            </w:r>
          </w:p>
        </w:tc>
        <w:tc>
          <w:tcPr>
            <w:tcW w:w="8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6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25249,</w:t>
            </w:r>
          </w:p>
        </w:tc>
        <w:tc>
          <w:tcPr>
            <w:tcW w:w="81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0,298</w:t>
            </w:r>
          </w:p>
        </w:tc>
      </w:tr>
      <w:tr w:rsidR="00000000">
        <w:trPr>
          <w:trHeight w:val="271"/>
          <w:jc w:val="center"/>
        </w:trPr>
        <w:tc>
          <w:tcPr>
            <w:tcW w:w="18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</w:t>
            </w:r>
          </w:p>
        </w:tc>
        <w:tc>
          <w:tcPr>
            <w:tcW w:w="249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 7500 " 8500</w:t>
            </w:r>
          </w:p>
        </w:tc>
        <w:tc>
          <w:tcPr>
            <w:tcW w:w="8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"</w:t>
            </w:r>
          </w:p>
        </w:tc>
        <w:tc>
          <w:tcPr>
            <w:tcW w:w="6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125369,1</w:t>
            </w:r>
          </w:p>
        </w:tc>
        <w:tc>
          <w:tcPr>
            <w:tcW w:w="81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0,282</w:t>
            </w:r>
          </w:p>
        </w:tc>
      </w:tr>
    </w:tbl>
    <w:p w:rsidR="00000000" w:rsidRDefault="009C083C">
      <w:pPr>
        <w:pStyle w:val="3"/>
        <w:spacing w:before="120" w:after="0"/>
        <w:jc w:val="right"/>
        <w:rPr>
          <w:rFonts w:eastAsia="Times New Roman"/>
          <w:i/>
          <w:iCs/>
          <w:color w:val="000000"/>
          <w:sz w:val="24"/>
          <w:szCs w:val="30"/>
        </w:rPr>
      </w:pPr>
      <w:bookmarkStart w:id="31" w:name="_Toc129164751"/>
      <w:r>
        <w:rPr>
          <w:rFonts w:ascii="Times New Roman" w:eastAsia="Times New Roman" w:hAnsi="Times New Roman" w:cs="Times New Roman"/>
          <w:sz w:val="24"/>
        </w:rPr>
        <w:t>Таблица 8</w:t>
      </w:r>
      <w:bookmarkEnd w:id="31"/>
    </w:p>
    <w:p w:rsidR="00000000" w:rsidRDefault="009C083C">
      <w:pPr>
        <w:pStyle w:val="3"/>
        <w:spacing w:before="120" w:after="120"/>
        <w:jc w:val="center"/>
        <w:rPr>
          <w:rFonts w:eastAsia="Times New Roman"/>
          <w:sz w:val="24"/>
          <w:szCs w:val="24"/>
        </w:rPr>
      </w:pPr>
      <w:bookmarkStart w:id="32" w:name="_Toc129164752"/>
      <w:r>
        <w:rPr>
          <w:rFonts w:ascii="Times New Roman" w:eastAsia="Times New Roman" w:hAnsi="Times New Roman" w:cs="Times New Roman"/>
          <w:sz w:val="24"/>
        </w:rPr>
        <w:t xml:space="preserve">Спецрасчеты </w:t>
      </w:r>
      <w:r>
        <w:rPr>
          <w:rFonts w:ascii="Times New Roman" w:eastAsia="Times New Roman" w:hAnsi="Times New Roman" w:cs="Times New Roman"/>
          <w:sz w:val="24"/>
        </w:rPr>
        <w:t>строительных конструкций и специальных инженерных систем</w:t>
      </w:r>
      <w:bookmarkEnd w:id="32"/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3517"/>
        <w:gridCol w:w="2372"/>
        <w:gridCol w:w="3832"/>
      </w:tblGrid>
      <w:tr w:rsidR="00000000">
        <w:trPr>
          <w:trHeight w:val="570"/>
          <w:jc w:val="center"/>
        </w:trPr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Наименование вида проектных работ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Единица измерения основного показателя объекта</w:t>
            </w:r>
          </w:p>
        </w:tc>
        <w:tc>
          <w:tcPr>
            <w:tcW w:w="1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Постоянные величины базовой цены разработки проектной документации, тыс. руб.</w:t>
            </w:r>
          </w:p>
        </w:tc>
      </w:tr>
      <w:tr w:rsidR="00000000">
        <w:trPr>
          <w:trHeight w:val="550"/>
          <w:jc w:val="center"/>
        </w:trPr>
        <w:tc>
          <w:tcPr>
            <w:tcW w:w="1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rPr>
                <w:szCs w:val="24"/>
              </w:rPr>
            </w:pPr>
            <w:r>
              <w:rPr>
                <w:color w:val="000000"/>
                <w:szCs w:val="26"/>
              </w:rPr>
              <w:t>Спецрасчеты строительных конструкций и специальных инженерных систем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 вид расчета</w:t>
            </w:r>
          </w:p>
        </w:tc>
        <w:tc>
          <w:tcPr>
            <w:tcW w:w="1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0000" w:rsidRDefault="009C083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color w:val="000000"/>
                <w:szCs w:val="26"/>
              </w:rPr>
              <w:t>18,57</w:t>
            </w:r>
          </w:p>
        </w:tc>
      </w:tr>
    </w:tbl>
    <w:p w:rsidR="00000000" w:rsidRDefault="009C083C">
      <w:pPr>
        <w:pStyle w:val="a5"/>
        <w:rPr>
          <w:spacing w:val="40"/>
          <w:sz w:val="20"/>
          <w:szCs w:val="24"/>
        </w:rPr>
      </w:pPr>
      <w:r>
        <w:rPr>
          <w:spacing w:val="40"/>
          <w:sz w:val="20"/>
        </w:rPr>
        <w:t>Примечания</w:t>
      </w:r>
    </w:p>
    <w:p w:rsidR="00000000" w:rsidRDefault="009C083C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8"/>
        </w:rPr>
        <w:t>1 За один вид расчета принимается:</w:t>
      </w:r>
    </w:p>
    <w:p w:rsidR="00000000" w:rsidRDefault="009C083C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8"/>
        </w:rPr>
        <w:t>- расчет строительных конструкций и специальных инженерных систем от воздействия поражающих факторов различных типов яд</w:t>
      </w:r>
      <w:r>
        <w:rPr>
          <w:color w:val="000000"/>
          <w:szCs w:val="28"/>
        </w:rPr>
        <w:t>ерных боеприпасов;</w:t>
      </w:r>
    </w:p>
    <w:p w:rsidR="00000000" w:rsidRDefault="009C083C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8"/>
        </w:rPr>
        <w:t>- расчет строительных конструкций и специальных инженерных систем на воздействие поражающих факторов обычных средств поражения и объемно-детонирующих средств.</w:t>
      </w:r>
    </w:p>
    <w:p w:rsidR="00000000" w:rsidRDefault="009C083C">
      <w:pPr>
        <w:shd w:val="clear" w:color="auto" w:fill="FFFFFF"/>
        <w:ind w:firstLine="284"/>
        <w:jc w:val="both"/>
        <w:rPr>
          <w:szCs w:val="24"/>
        </w:rPr>
      </w:pPr>
      <w:r>
        <w:rPr>
          <w:color w:val="000000"/>
          <w:szCs w:val="28"/>
        </w:rPr>
        <w:t>2 При выполнении одного вида расчета с вариантами стоимость работ, выполняемых</w:t>
      </w:r>
      <w:r>
        <w:rPr>
          <w:color w:val="000000"/>
          <w:szCs w:val="28"/>
        </w:rPr>
        <w:t xml:space="preserve"> на варианты, определяется с коэффициентом до 0,6 за каждый вариант.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Cs w:val="28"/>
        </w:rPr>
        <w:t>3 Степень проработки дополнительных вариантов устанавливается проектной организацией по согласованию с заказчиком проектной документации.</w:t>
      </w:r>
    </w:p>
    <w:p w:rsidR="00000000" w:rsidRDefault="009C083C">
      <w:pPr>
        <w:pStyle w:val="1"/>
        <w:spacing w:before="120" w:after="120"/>
        <w:rPr>
          <w:rFonts w:eastAsia="Times New Roman"/>
          <w:szCs w:val="24"/>
        </w:rPr>
      </w:pPr>
      <w:bookmarkStart w:id="33" w:name="_Toc129164753"/>
      <w:r>
        <w:rPr>
          <w:rFonts w:eastAsia="Times New Roman"/>
        </w:rPr>
        <w:t>3 ТАБЛИЦЫ ОТНОСИТЕЛЬНОЙ СТОИМОСТИ РАЗРАБОТКИ ПРОЕ</w:t>
      </w:r>
      <w:r>
        <w:rPr>
          <w:rFonts w:eastAsia="Times New Roman"/>
        </w:rPr>
        <w:t>КТНОЙ ДОКУМЕНТАЦИИ</w:t>
      </w:r>
      <w:bookmarkEnd w:id="33"/>
    </w:p>
    <w:p w:rsidR="00000000" w:rsidRDefault="009C083C">
      <w:pPr>
        <w:shd w:val="clear" w:color="auto" w:fill="FFFFFF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8"/>
        </w:rPr>
        <w:t>(в процентах от цены)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8"/>
        </w:rPr>
        <w:t>Таблицы относительной стоимости разработки проектной документации для строительства защитных сооружений гражданской обороны и других специальных сооружений приведены для следующих стадий проектирования: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30"/>
        </w:rPr>
        <w:t xml:space="preserve">- проект </w:t>
      </w:r>
      <w:r>
        <w:rPr>
          <w:color w:val="000000"/>
          <w:sz w:val="24"/>
          <w:szCs w:val="30"/>
        </w:rPr>
        <w:t>(П);</w:t>
      </w:r>
    </w:p>
    <w:p w:rsidR="00000000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30"/>
        </w:rPr>
        <w:t>- рабочая документация (Р);</w:t>
      </w:r>
    </w:p>
    <w:p w:rsidR="00000000" w:rsidRDefault="009C083C">
      <w:pPr>
        <w:shd w:val="clear" w:color="auto" w:fill="FFFFFF"/>
        <w:ind w:left="284"/>
        <w:jc w:val="both"/>
        <w:rPr>
          <w:color w:val="000000"/>
          <w:sz w:val="24"/>
          <w:szCs w:val="30"/>
        </w:rPr>
      </w:pPr>
      <w:r>
        <w:rPr>
          <w:color w:val="000000"/>
          <w:sz w:val="24"/>
          <w:szCs w:val="30"/>
        </w:rPr>
        <w:t>- рабочий проект (РП).</w:t>
      </w:r>
    </w:p>
    <w:p w:rsidR="00000000" w:rsidRDefault="009C083C">
      <w:pPr>
        <w:widowControl/>
        <w:autoSpaceDE/>
        <w:autoSpaceDN/>
        <w:adjustRightInd/>
        <w:rPr>
          <w:color w:val="000000"/>
          <w:sz w:val="24"/>
          <w:szCs w:val="30"/>
        </w:rPr>
        <w:sectPr w:rsidR="00000000">
          <w:pgSz w:w="11909" w:h="16834"/>
          <w:pgMar w:top="1134" w:right="1134" w:bottom="1134" w:left="1134" w:header="720" w:footer="720" w:gutter="0"/>
          <w:cols w:space="708"/>
          <w:docGrid w:linePitch="360"/>
        </w:sectPr>
      </w:pPr>
    </w:p>
    <w:p w:rsidR="00000000" w:rsidRDefault="009C083C">
      <w:pPr>
        <w:pStyle w:val="4"/>
        <w:rPr>
          <w:rFonts w:eastAsia="Times New Roman"/>
        </w:rPr>
      </w:pPr>
      <w:r>
        <w:rPr>
          <w:rFonts w:eastAsia="Times New Roman"/>
        </w:rPr>
        <w:lastRenderedPageBreak/>
        <w:t>К таблице 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30"/>
        <w:gridCol w:w="853"/>
        <w:gridCol w:w="1061"/>
        <w:gridCol w:w="930"/>
        <w:gridCol w:w="1038"/>
        <w:gridCol w:w="884"/>
        <w:gridCol w:w="959"/>
        <w:gridCol w:w="1045"/>
        <w:gridCol w:w="1113"/>
        <w:gridCol w:w="1122"/>
        <w:gridCol w:w="978"/>
        <w:gridCol w:w="897"/>
        <w:gridCol w:w="1050"/>
        <w:gridCol w:w="1147"/>
        <w:gridCol w:w="881"/>
      </w:tblGrid>
      <w:tr w:rsidR="00000000">
        <w:trPr>
          <w:trHeight w:val="860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Номера пунктов таблицы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Стадия проекти-рования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Эффектив-ность инвестиций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Генераль-ный план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Технологи-ческая часть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Архитек-турно-строи-тельная часть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Конструк-тивные расчеты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Отопление и вентиляция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Водопровод и канализация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Электрообо-рудование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Автомати-зация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Пром-проводки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Тепломеха-ническая часть, ДЭС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Организация строи-тельства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Сметная докумен-тация</w:t>
            </w:r>
          </w:p>
        </w:tc>
      </w:tr>
      <w:tr w:rsidR="00000000">
        <w:trPr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hyperlink w:anchor="пункт_1_таблица_5" w:tooltip="п.1" w:history="1">
              <w:r>
                <w:rPr>
                  <w:rStyle w:val="a3"/>
                  <w:sz w:val="18"/>
                  <w:szCs w:val="30"/>
                </w:rPr>
                <w:t>пп. 1</w:t>
              </w:r>
            </w:hyperlink>
            <w:r>
              <w:rPr>
                <w:color w:val="000000"/>
                <w:sz w:val="18"/>
                <w:szCs w:val="30"/>
              </w:rPr>
              <w:t>÷</w:t>
            </w:r>
            <w:hyperlink w:anchor="пункт_8_таблица_5" w:tooltip="п.8" w:history="1">
              <w:r>
                <w:rPr>
                  <w:rStyle w:val="a3"/>
                  <w:sz w:val="18"/>
                  <w:szCs w:val="30"/>
                </w:rPr>
                <w:t>8</w:t>
              </w:r>
            </w:hyperlink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П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23,0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19,0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8,0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14,0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2,5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5,0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6,0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8,0</w:t>
            </w:r>
          </w:p>
        </w:tc>
      </w:tr>
      <w:tr w:rsidR="00000000">
        <w:trPr>
          <w:jc w:val="center"/>
        </w:trPr>
        <w:tc>
          <w:tcPr>
            <w:tcW w:w="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Р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-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2,5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12,0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20,0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20,0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7,0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17,0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2,0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1,5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5,0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12,0</w:t>
            </w:r>
          </w:p>
        </w:tc>
      </w:tr>
      <w:tr w:rsidR="00000000">
        <w:trPr>
          <w:jc w:val="center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РП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0,5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1,0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2,5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12,0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18,0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22,0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8,0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13,0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2,0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1,5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5,0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4,0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8"/>
                <w:szCs w:val="30"/>
              </w:rPr>
            </w:pPr>
            <w:r>
              <w:rPr>
                <w:color w:val="000000"/>
                <w:sz w:val="18"/>
                <w:szCs w:val="30"/>
              </w:rPr>
              <w:t>10,5</w:t>
            </w:r>
          </w:p>
        </w:tc>
      </w:tr>
    </w:tbl>
    <w:p w:rsidR="00000000" w:rsidRDefault="009C083C">
      <w:pPr>
        <w:shd w:val="clear" w:color="auto" w:fill="FFFFFF"/>
        <w:spacing w:before="120" w:after="120"/>
        <w:jc w:val="right"/>
        <w:rPr>
          <w:color w:val="000000"/>
          <w:sz w:val="24"/>
          <w:szCs w:val="30"/>
        </w:rPr>
      </w:pPr>
      <w:r>
        <w:rPr>
          <w:color w:val="000000"/>
          <w:sz w:val="24"/>
          <w:szCs w:val="30"/>
        </w:rPr>
        <w:t>К таблице 6,7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49"/>
        <w:gridCol w:w="770"/>
        <w:gridCol w:w="952"/>
        <w:gridCol w:w="1045"/>
        <w:gridCol w:w="931"/>
        <w:gridCol w:w="1169"/>
        <w:gridCol w:w="991"/>
        <w:gridCol w:w="723"/>
        <w:gridCol w:w="698"/>
        <w:gridCol w:w="970"/>
        <w:gridCol w:w="942"/>
        <w:gridCol w:w="838"/>
        <w:gridCol w:w="765"/>
        <w:gridCol w:w="851"/>
        <w:gridCol w:w="749"/>
        <w:gridCol w:w="850"/>
        <w:gridCol w:w="795"/>
      </w:tblGrid>
      <w:tr w:rsidR="00000000">
        <w:trPr>
          <w:trHeight w:val="2010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Номера таблиц и пунктов таблицы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Стадия проекти-рования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Эффектив-ность инвестиций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Генеральный план и транспорт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 xml:space="preserve">Технологи-ческая часть </w:t>
            </w:r>
            <w:r>
              <w:rPr>
                <w:color w:val="000000"/>
                <w:sz w:val="16"/>
                <w:szCs w:val="26"/>
              </w:rPr>
              <w:t>"П" и "Ж"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Специальные строительные решения (архитектурно-строительная часть + строительные инвистиции)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Отопление, вентиляция, теплосна-бжение, кондицио-нирование воздуха, холодоснаб-жение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Сжатый воздух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Водо-провод и канали-зация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Силовое электрообо-рудование, электро-снабжение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Тепломеха-ническая часть, ДЭС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Электро-автомати-зация (комп-лексная)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Связь и сигнали-зация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Противо-пожарные меро-приятия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Охрана окру-жающей среды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Органи</w:t>
            </w:r>
            <w:r>
              <w:rPr>
                <w:color w:val="000000"/>
                <w:sz w:val="16"/>
                <w:szCs w:val="30"/>
              </w:rPr>
              <w:t>за-ция строи-тельства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Сметная докумен-тация</w:t>
            </w:r>
          </w:p>
        </w:tc>
      </w:tr>
      <w:tr w:rsidR="00000000">
        <w:trPr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hyperlink w:anchor="таблица_6" w:tooltip="Командные пункты и пункты управления" w:history="1">
              <w:r>
                <w:rPr>
                  <w:rStyle w:val="a3"/>
                  <w:sz w:val="16"/>
                  <w:szCs w:val="30"/>
                </w:rPr>
                <w:t>Табл. 6</w:t>
              </w:r>
            </w:hyperlink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П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26,0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16,2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9,3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0,4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5,5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10,9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5,3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6,8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5,0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6,0</w:t>
            </w:r>
          </w:p>
        </w:tc>
      </w:tr>
      <w:tr w:rsidR="00000000">
        <w:trPr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пп. 1÷8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Р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21,4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28,8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8,7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0,6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5,8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9,5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7,6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2,6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9,0</w:t>
            </w:r>
          </w:p>
        </w:tc>
      </w:tr>
      <w:tr w:rsidR="00000000">
        <w:trPr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РП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20,1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27,9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8,0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0,6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6,2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8,0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5,4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2,4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2,1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3,0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9,6</w:t>
            </w:r>
          </w:p>
        </w:tc>
      </w:tr>
      <w:tr w:rsidR="00000000">
        <w:trPr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hyperlink w:anchor="таблица_7" w:tooltip="Объекты связи" w:history="1">
              <w:r>
                <w:rPr>
                  <w:rStyle w:val="a3"/>
                  <w:sz w:val="16"/>
                  <w:szCs w:val="30"/>
                </w:rPr>
                <w:t>Табл. 7</w:t>
              </w:r>
            </w:hyperlink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П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1,6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26,0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15,0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10,0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1,0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6,0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10,0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2,5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5,2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1,7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2,2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6,8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5,0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6,0</w:t>
            </w:r>
          </w:p>
        </w:tc>
      </w:tr>
      <w:tr w:rsidR="00000000">
        <w:trPr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пп. 1÷7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Р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-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23,0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27,7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8,9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0,6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5,8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9,5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2,5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6,4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2,5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2,6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-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-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9,5</w:t>
            </w:r>
          </w:p>
        </w:tc>
      </w:tr>
      <w:tr w:rsidR="00000000">
        <w:trPr>
          <w:jc w:val="center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РП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1,0-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1,0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21,0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26,0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8,2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0,6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5,6</w:t>
            </w:r>
          </w:p>
        </w:tc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8,3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6,2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2,4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2,7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2,0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3,0</w:t>
            </w: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C083C">
            <w:pPr>
              <w:jc w:val="center"/>
              <w:rPr>
                <w:color w:val="000000"/>
                <w:sz w:val="16"/>
                <w:szCs w:val="30"/>
              </w:rPr>
            </w:pPr>
            <w:r>
              <w:rPr>
                <w:color w:val="000000"/>
                <w:sz w:val="16"/>
                <w:szCs w:val="30"/>
              </w:rPr>
              <w:t>10,0</w:t>
            </w:r>
          </w:p>
        </w:tc>
      </w:tr>
    </w:tbl>
    <w:p w:rsidR="00000000" w:rsidRDefault="009C083C">
      <w:pPr>
        <w:shd w:val="clear" w:color="auto" w:fill="FFFFFF"/>
        <w:jc w:val="center"/>
        <w:rPr>
          <w:color w:val="000000"/>
          <w:szCs w:val="30"/>
        </w:rPr>
      </w:pPr>
    </w:p>
    <w:p w:rsidR="009C083C" w:rsidRDefault="009C083C">
      <w:pPr>
        <w:shd w:val="clear" w:color="auto" w:fill="FFFFFF"/>
        <w:ind w:firstLine="284"/>
        <w:jc w:val="both"/>
        <w:rPr>
          <w:sz w:val="24"/>
          <w:szCs w:val="24"/>
        </w:rPr>
      </w:pPr>
    </w:p>
    <w:sectPr w:rsidR="009C083C">
      <w:pgSz w:w="16840" w:h="11907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hyphenationZone w:val="34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4D2DBE"/>
    <w:rsid w:val="004D2DBE"/>
    <w:rsid w:val="0099761F"/>
    <w:rsid w:val="009C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jc w:val="center"/>
      <w:outlineLvl w:val="0"/>
    </w:pPr>
    <w:rPr>
      <w:rFonts w:eastAsiaTheme="minorEastAsia"/>
      <w:b/>
      <w:bCs/>
      <w:color w:val="000000"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hd w:val="clear" w:color="auto" w:fill="FFFFFF"/>
      <w:jc w:val="center"/>
      <w:outlineLvl w:val="1"/>
    </w:pPr>
    <w:rPr>
      <w:rFonts w:eastAsiaTheme="minorEastAsia"/>
      <w:b/>
      <w:bCs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eastAsiaTheme="minorEastAsia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hd w:val="clear" w:color="auto" w:fill="FFFFFF"/>
      <w:spacing w:after="120"/>
      <w:jc w:val="right"/>
      <w:outlineLvl w:val="3"/>
    </w:pPr>
    <w:rPr>
      <w:rFonts w:eastAsiaTheme="minorEastAsia"/>
      <w:color w:val="000000"/>
      <w:sz w:val="24"/>
      <w:szCs w:val="30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rFonts w:eastAsiaTheme="minorEastAsia"/>
      <w:b/>
      <w:bCs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 w:after="120"/>
      <w:jc w:val="center"/>
      <w:outlineLvl w:val="5"/>
    </w:pPr>
    <w:rPr>
      <w:rFonts w:eastAsiaTheme="minorEastAs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11">
    <w:name w:val="toc 1"/>
    <w:basedOn w:val="a"/>
    <w:next w:val="a"/>
    <w:autoRedefine/>
    <w:uiPriority w:val="39"/>
    <w:semiHidden/>
    <w:unhideWhenUsed/>
  </w:style>
  <w:style w:type="paragraph" w:styleId="21">
    <w:name w:val="toc 2"/>
    <w:basedOn w:val="a"/>
    <w:next w:val="a"/>
    <w:autoRedefine/>
    <w:uiPriority w:val="39"/>
    <w:semiHidden/>
    <w:unhideWhenUsed/>
    <w:pPr>
      <w:ind w:left="200"/>
    </w:pPr>
  </w:style>
  <w:style w:type="paragraph" w:styleId="31">
    <w:name w:val="toc 3"/>
    <w:basedOn w:val="a"/>
    <w:next w:val="a"/>
    <w:autoRedefine/>
    <w:uiPriority w:val="39"/>
    <w:semiHidden/>
    <w:unhideWhenUsed/>
    <w:pPr>
      <w:ind w:left="400"/>
    </w:pPr>
  </w:style>
  <w:style w:type="paragraph" w:styleId="41">
    <w:name w:val="toc 4"/>
    <w:basedOn w:val="a"/>
    <w:next w:val="a"/>
    <w:autoRedefine/>
    <w:uiPriority w:val="39"/>
    <w:semiHidden/>
    <w:unhideWhenUsed/>
    <w:pPr>
      <w:ind w:left="600"/>
    </w:pPr>
  </w:style>
  <w:style w:type="paragraph" w:styleId="51">
    <w:name w:val="toc 5"/>
    <w:basedOn w:val="a"/>
    <w:next w:val="a"/>
    <w:autoRedefine/>
    <w:uiPriority w:val="39"/>
    <w:semiHidden/>
    <w:unhideWhenUsed/>
    <w:pPr>
      <w:ind w:left="800"/>
    </w:pPr>
  </w:style>
  <w:style w:type="paragraph" w:styleId="61">
    <w:name w:val="toc 6"/>
    <w:basedOn w:val="a"/>
    <w:next w:val="a"/>
    <w:autoRedefine/>
    <w:uiPriority w:val="39"/>
    <w:semiHidden/>
    <w:unhideWhenUsed/>
    <w:pPr>
      <w:ind w:left="1000"/>
    </w:pPr>
  </w:style>
  <w:style w:type="paragraph" w:styleId="7">
    <w:name w:val="toc 7"/>
    <w:basedOn w:val="a"/>
    <w:next w:val="a"/>
    <w:autoRedefine/>
    <w:uiPriority w:val="39"/>
    <w:semiHidden/>
    <w:unhideWhenUsed/>
    <w:pPr>
      <w:ind w:left="1200"/>
    </w:pPr>
  </w:style>
  <w:style w:type="paragraph" w:styleId="8">
    <w:name w:val="toc 8"/>
    <w:basedOn w:val="a"/>
    <w:next w:val="a"/>
    <w:autoRedefine/>
    <w:uiPriority w:val="39"/>
    <w:semiHidden/>
    <w:unhideWhenUsed/>
    <w:pPr>
      <w:ind w:left="1400"/>
    </w:pPr>
  </w:style>
  <w:style w:type="paragraph" w:styleId="9">
    <w:name w:val="toc 9"/>
    <w:basedOn w:val="a"/>
    <w:next w:val="a"/>
    <w:autoRedefine/>
    <w:uiPriority w:val="39"/>
    <w:semiHidden/>
    <w:unhideWhenUsed/>
    <w:pPr>
      <w:ind w:left="1600"/>
    </w:pPr>
  </w:style>
  <w:style w:type="paragraph" w:styleId="a5">
    <w:name w:val="caption"/>
    <w:basedOn w:val="a"/>
    <w:next w:val="a"/>
    <w:uiPriority w:val="35"/>
    <w:qFormat/>
    <w:pPr>
      <w:shd w:val="clear" w:color="auto" w:fill="FFFFFF"/>
      <w:spacing w:before="120"/>
      <w:ind w:firstLine="284"/>
      <w:jc w:val="both"/>
    </w:pPr>
    <w:rPr>
      <w:i/>
      <w:iCs/>
      <w:color w:val="000000"/>
      <w:sz w:val="24"/>
      <w:szCs w:val="28"/>
    </w:rPr>
  </w:style>
  <w:style w:type="paragraph" w:styleId="a6">
    <w:name w:val="Body Text"/>
    <w:basedOn w:val="a"/>
    <w:link w:val="a7"/>
    <w:uiPriority w:val="99"/>
    <w:semiHidden/>
    <w:unhideWhenUsed/>
    <w:pPr>
      <w:shd w:val="clear" w:color="auto" w:fill="FFFFFF"/>
      <w:jc w:val="center"/>
    </w:pPr>
    <w:rPr>
      <w:b/>
      <w:bCs/>
      <w:color w:val="000000"/>
      <w:sz w:val="24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</w:style>
  <w:style w:type="paragraph" w:styleId="a8">
    <w:name w:val="Body Text Indent"/>
    <w:basedOn w:val="a"/>
    <w:link w:val="a9"/>
    <w:uiPriority w:val="99"/>
    <w:semiHidden/>
    <w:unhideWhenUsed/>
    <w:pPr>
      <w:shd w:val="clear" w:color="auto" w:fill="FFFFFF"/>
      <w:ind w:firstLine="284"/>
      <w:jc w:val="both"/>
    </w:pPr>
    <w:rPr>
      <w:color w:val="000000"/>
      <w:sz w:val="24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</w:style>
  <w:style w:type="paragraph" w:styleId="22">
    <w:name w:val="Body Text Indent 2"/>
    <w:basedOn w:val="a"/>
    <w:link w:val="23"/>
    <w:uiPriority w:val="99"/>
    <w:semiHidden/>
    <w:unhideWhenUsed/>
    <w:pPr>
      <w:shd w:val="clear" w:color="auto" w:fill="FFFFFF"/>
      <w:spacing w:before="120" w:after="120"/>
      <w:ind w:firstLine="284"/>
      <w:jc w:val="both"/>
    </w:pPr>
    <w:rPr>
      <w:color w:val="000000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file:///C:\Program%20Files\StroyConsultant\Temp\4331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3288</Words>
  <Characters>18745</Characters>
  <Application>Microsoft Office Word</Application>
  <DocSecurity>0</DocSecurity>
  <Lines>156</Lines>
  <Paragraphs>43</Paragraphs>
  <ScaleCrop>false</ScaleCrop>
  <Company>СтройКонсультант</Company>
  <LinksUpToDate>false</LinksUpToDate>
  <CharactersWithSpaces>21990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СБЦ. Инженерно-технические мероприятия гражданской обороны. Мероприятия по предупреждению чрезвычайных ситуаций. Защитные сооружения гражданской обороны и другие специальные сооружения</dc:title>
  <dc:subject/>
  <dc:creator>СтройКонсультант</dc:creator>
  <cp:keywords/>
  <dc:description/>
  <cp:lastModifiedBy>s.yasenickii</cp:lastModifiedBy>
  <cp:revision>2</cp:revision>
  <cp:lastPrinted>2012-04-06T07:34:00Z</cp:lastPrinted>
  <dcterms:created xsi:type="dcterms:W3CDTF">2012-04-06T07:34:00Z</dcterms:created>
  <dcterms:modified xsi:type="dcterms:W3CDTF">2012-04-06T07:34:00Z</dcterms:modified>
</cp:coreProperties>
</file>