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0241" w14:textId="72617D2B" w:rsidR="00F12C76" w:rsidRPr="00BA2338" w:rsidRDefault="00304448" w:rsidP="00BA2338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Предложение по совершенствованию </w:t>
      </w:r>
      <w:proofErr w:type="spellStart"/>
      <w:r w:rsidR="00BE0989" w:rsidRPr="00BA2338">
        <w:rPr>
          <w:b/>
          <w:bCs/>
        </w:rPr>
        <w:t>ФСНБ</w:t>
      </w:r>
      <w:proofErr w:type="spellEnd"/>
      <w:r w:rsidR="002000D9">
        <w:rPr>
          <w:b/>
          <w:bCs/>
        </w:rPr>
        <w:t xml:space="preserve"> № 2</w:t>
      </w:r>
    </w:p>
    <w:p w14:paraId="4EE225B9" w14:textId="5B952ABA" w:rsidR="00BE0989" w:rsidRDefault="00A064C4" w:rsidP="00A064C4">
      <w:pPr>
        <w:spacing w:after="0"/>
        <w:jc w:val="both"/>
      </w:pPr>
      <w:hyperlink r:id="rId5" w:history="1">
        <w:proofErr w:type="spellStart"/>
        <w:r w:rsidRPr="00AD725E">
          <w:rPr>
            <w:rStyle w:val="ac"/>
          </w:rPr>
          <w:t>https</w:t>
        </w:r>
        <w:proofErr w:type="spellEnd"/>
        <w:r w:rsidRPr="00AD725E">
          <w:rPr>
            <w:rStyle w:val="ac"/>
          </w:rPr>
          <w:t>://</w:t>
        </w:r>
        <w:proofErr w:type="spellStart"/>
        <w:r w:rsidRPr="00AD725E">
          <w:rPr>
            <w:rStyle w:val="ac"/>
          </w:rPr>
          <w:t>cmet4uk.ru</w:t>
        </w:r>
        <w:proofErr w:type="spellEnd"/>
        <w:r w:rsidRPr="00AD725E">
          <w:rPr>
            <w:rStyle w:val="ac"/>
          </w:rPr>
          <w:t>/</w:t>
        </w:r>
        <w:proofErr w:type="spellStart"/>
        <w:r w:rsidRPr="00AD725E">
          <w:rPr>
            <w:rStyle w:val="ac"/>
          </w:rPr>
          <w:t>forum</w:t>
        </w:r>
        <w:proofErr w:type="spellEnd"/>
        <w:r w:rsidRPr="00AD725E">
          <w:rPr>
            <w:rStyle w:val="ac"/>
          </w:rPr>
          <w:t>/2-43760</w:t>
        </w:r>
      </w:hyperlink>
    </w:p>
    <w:p w14:paraId="767F463F" w14:textId="77777777" w:rsidR="00A064C4" w:rsidRDefault="00A064C4" w:rsidP="00A064C4">
      <w:pPr>
        <w:spacing w:after="0"/>
        <w:jc w:val="both"/>
      </w:pPr>
    </w:p>
    <w:p w14:paraId="1738B5F7" w14:textId="4023388E" w:rsidR="006F5E18" w:rsidRDefault="006F5E18" w:rsidP="003B6CF8">
      <w:pPr>
        <w:spacing w:after="0"/>
        <w:jc w:val="both"/>
      </w:pPr>
      <w:r>
        <w:t xml:space="preserve">Для </w:t>
      </w:r>
      <w:r w:rsidR="002025EC">
        <w:t>приказа 421/</w:t>
      </w:r>
      <w:proofErr w:type="spellStart"/>
      <w:r w:rsidR="002025EC">
        <w:t>пр</w:t>
      </w:r>
      <w:proofErr w:type="spellEnd"/>
      <w:r>
        <w:t xml:space="preserve"> </w:t>
      </w:r>
    </w:p>
    <w:p w14:paraId="01F08A55" w14:textId="77777777" w:rsidR="00BE0989" w:rsidRDefault="00BE0989" w:rsidP="00B65E75">
      <w:pPr>
        <w:spacing w:after="0"/>
        <w:jc w:val="both"/>
      </w:pPr>
    </w:p>
    <w:p w14:paraId="62AB9EE9" w14:textId="043BFE1F" w:rsidR="00B65E75" w:rsidRDefault="00B65E75" w:rsidP="00B65E75">
      <w:pPr>
        <w:spacing w:after="0"/>
        <w:jc w:val="both"/>
      </w:pPr>
      <w:r w:rsidRPr="00B65E75">
        <w:rPr>
          <w:b/>
          <w:bCs/>
        </w:rPr>
        <w:t>Описание</w:t>
      </w:r>
      <w:r>
        <w:t xml:space="preserve"> недостатка </w:t>
      </w:r>
      <w:proofErr w:type="spellStart"/>
      <w:r>
        <w:t>ФСНБ</w:t>
      </w:r>
      <w:proofErr w:type="spellEnd"/>
    </w:p>
    <w:p w14:paraId="47B0DDC0" w14:textId="2FCDE893" w:rsidR="00544CBE" w:rsidRPr="00B65E75" w:rsidRDefault="00B65E75" w:rsidP="00B65E75">
      <w:pPr>
        <w:spacing w:after="0"/>
        <w:jc w:val="both"/>
        <w:rPr>
          <w:u w:val="single"/>
        </w:rPr>
      </w:pPr>
      <w:r w:rsidRPr="00B65E75">
        <w:rPr>
          <w:u w:val="single"/>
        </w:rPr>
        <w:t xml:space="preserve">1) </w:t>
      </w:r>
      <w:r w:rsidR="002025EC">
        <w:rPr>
          <w:u w:val="single"/>
        </w:rPr>
        <w:t>Строительный контроль</w:t>
      </w:r>
      <w:r w:rsidR="002000D9">
        <w:rPr>
          <w:u w:val="single"/>
        </w:rPr>
        <w:t xml:space="preserve"> </w:t>
      </w:r>
      <w:r w:rsidR="00187FAB" w:rsidRPr="00187FAB">
        <w:rPr>
          <w:u w:val="single"/>
        </w:rPr>
        <w:t>или</w:t>
      </w:r>
      <w:r w:rsidR="002000D9">
        <w:rPr>
          <w:u w:val="single"/>
        </w:rPr>
        <w:t xml:space="preserve"> контроль за расходованием государственной субсидии</w:t>
      </w:r>
    </w:p>
    <w:p w14:paraId="0398C559" w14:textId="5F681C83" w:rsidR="002025EC" w:rsidRDefault="002025EC" w:rsidP="002025EC">
      <w:pPr>
        <w:pStyle w:val="ae"/>
      </w:pPr>
      <w:r>
        <w:t xml:space="preserve">Коммерческие застройщики участвуют в реализации региональных </w:t>
      </w:r>
      <w:r w:rsidR="00BD3D82">
        <w:t>г</w:t>
      </w:r>
      <w:r>
        <w:t>осударственн</w:t>
      </w:r>
      <w:r w:rsidR="00BD3D82">
        <w:t>ых</w:t>
      </w:r>
      <w:r>
        <w:t xml:space="preserve"> программа</w:t>
      </w:r>
      <w:r w:rsidR="00BD3D82">
        <w:t>х</w:t>
      </w:r>
      <w:r>
        <w:t xml:space="preserve"> "Современное образование …" или "Современное здраво</w:t>
      </w:r>
      <w:r w:rsidR="002000D9">
        <w:t>о</w:t>
      </w:r>
      <w:r>
        <w:t xml:space="preserve">хранение …". Региональные правительства выдают субсидии на строительство школ, садиков, больниц. Одним из условия выдачи субсидий является бюджетный контроль за строительством. </w:t>
      </w:r>
      <w:r w:rsidR="00BD3D82">
        <w:t xml:space="preserve">Такой </w:t>
      </w:r>
      <w:r>
        <w:t>контроль может выполнять уполномоченная правительством региона организация (например АО «АО»). Такой контрол</w:t>
      </w:r>
      <w:r w:rsidR="002000D9">
        <w:t>ь</w:t>
      </w:r>
      <w:r>
        <w:t xml:space="preserve"> часто выполняется за счёт застройщика, в виде оплат</w:t>
      </w:r>
      <w:r w:rsidR="002000D9">
        <w:t>ы</w:t>
      </w:r>
      <w:r>
        <w:t xml:space="preserve"> услуг «строительного контроля» (согласовываю</w:t>
      </w:r>
      <w:r w:rsidR="00BD3D82">
        <w:t>т</w:t>
      </w:r>
      <w:r>
        <w:t xml:space="preserve"> акты КС между застройщиком и генподрядчиком).</w:t>
      </w:r>
    </w:p>
    <w:p w14:paraId="328AA797" w14:textId="665EA0B2" w:rsidR="00BD3D82" w:rsidRDefault="00BD3D82" w:rsidP="002025EC">
      <w:pPr>
        <w:pStyle w:val="ae"/>
      </w:pPr>
      <w:r>
        <w:t xml:space="preserve">При этом застройщик </w:t>
      </w:r>
      <w:r w:rsidR="00C978A3">
        <w:t xml:space="preserve">несёт затраты на ведение </w:t>
      </w:r>
      <w:r>
        <w:t>сво</w:t>
      </w:r>
      <w:r w:rsidR="00C978A3">
        <w:t>его</w:t>
      </w:r>
      <w:r>
        <w:t xml:space="preserve"> строительн</w:t>
      </w:r>
      <w:r w:rsidR="00C978A3">
        <w:t>ого</w:t>
      </w:r>
      <w:r>
        <w:t xml:space="preserve"> контроль в полном объёме </w:t>
      </w:r>
      <w:r w:rsidR="00C978A3">
        <w:t xml:space="preserve">работ </w:t>
      </w:r>
      <w:r>
        <w:t xml:space="preserve">по </w:t>
      </w:r>
      <w:r w:rsidRPr="00BD3D82">
        <w:t>постановлени</w:t>
      </w:r>
      <w:r>
        <w:t>ю</w:t>
      </w:r>
      <w:r w:rsidRPr="00BD3D82">
        <w:t xml:space="preserve"> Правительства РФ от 21 июня 2010 г. </w:t>
      </w:r>
      <w:r>
        <w:t xml:space="preserve">№ </w:t>
      </w:r>
      <w:r w:rsidRPr="00BD3D82">
        <w:t>468</w:t>
      </w:r>
      <w:r>
        <w:t xml:space="preserve">. </w:t>
      </w:r>
      <w:r w:rsidR="00C978A3">
        <w:t xml:space="preserve">И </w:t>
      </w:r>
      <w:r>
        <w:t>оплачивает дополнительный «строительный контроль» заказчика.</w:t>
      </w:r>
    </w:p>
    <w:p w14:paraId="77CAF9E9" w14:textId="77777777" w:rsidR="00FB3408" w:rsidRDefault="00C978A3" w:rsidP="00BD3D82">
      <w:pPr>
        <w:pStyle w:val="ae"/>
      </w:pPr>
      <w:r>
        <w:t xml:space="preserve">Приказом </w:t>
      </w:r>
      <w:r w:rsidR="00BD3D82">
        <w:t>Минстроя РФ от 4 августа 2020 г. N 421/</w:t>
      </w:r>
      <w:proofErr w:type="spellStart"/>
      <w:r w:rsidR="00BD3D82">
        <w:t>пр</w:t>
      </w:r>
      <w:proofErr w:type="spellEnd"/>
      <w:r w:rsidR="00BD3D82">
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</w:t>
      </w:r>
      <w:r>
        <w:t>, пунктами 166-167 не предусматривается компенсация затрат застройщика уполномоченным правительством региона, администрацией субъекта региона организациям на осуществление государственного контроля за расходованием субсидий.</w:t>
      </w:r>
      <w:r w:rsidR="002000D9">
        <w:t xml:space="preserve"> </w:t>
      </w:r>
    </w:p>
    <w:p w14:paraId="09E0DBD1" w14:textId="7C38D975" w:rsidR="00BD3D82" w:rsidRPr="002000D9" w:rsidRDefault="00034B0A" w:rsidP="00FB3408">
      <w:pPr>
        <w:pStyle w:val="ae"/>
      </w:pPr>
      <w:r>
        <w:t>Фактически уполномоченные организации ведут не «строительный контроль» по ПП 468, а осуществляют контроль за расходованием государственных субсидий путём проверки выполненных работ в актах КС-2. А п</w:t>
      </w:r>
      <w:r w:rsidR="002000D9">
        <w:t>рименяемые</w:t>
      </w:r>
      <w:r w:rsidR="002000D9" w:rsidRPr="00FB3408">
        <w:t xml:space="preserve"> </w:t>
      </w:r>
      <w:r w:rsidR="002000D9">
        <w:t xml:space="preserve">в договорах </w:t>
      </w:r>
      <w:r w:rsidR="00FB3408">
        <w:t xml:space="preserve">с уполномоченными организациями формулировок «строительный контроль» исключает возможность получения застройщиком компенсации. Что </w:t>
      </w:r>
      <w:r w:rsidR="00FB3408" w:rsidRPr="00FB3408">
        <w:t>приводит к негативным последствиям для застройщика, таким как отсутствие компенсации и снижение рентабельности проектов</w:t>
      </w:r>
      <w:r w:rsidR="00FB3408">
        <w:t xml:space="preserve"> застройщиков при реализации государственных программ развития.</w:t>
      </w:r>
    </w:p>
    <w:p w14:paraId="2E829D3C" w14:textId="77777777" w:rsidR="00DD475B" w:rsidRDefault="00DD475B" w:rsidP="00BD3D82">
      <w:pPr>
        <w:pStyle w:val="ae"/>
      </w:pPr>
    </w:p>
    <w:p w14:paraId="46273939" w14:textId="11AE416A" w:rsidR="00544CBE" w:rsidRDefault="00C45582" w:rsidP="00C45582">
      <w:pPr>
        <w:spacing w:after="0"/>
        <w:jc w:val="center"/>
      </w:pPr>
      <w:r>
        <w:t xml:space="preserve">Пример сметного расчёта </w:t>
      </w:r>
      <w:r w:rsidR="00C978A3">
        <w:t>компенсаци</w:t>
      </w:r>
      <w:r w:rsidR="002000D9">
        <w:t>и затрат</w:t>
      </w:r>
      <w:r w:rsidR="00C978A3">
        <w:t xml:space="preserve"> застройщику на осуществление контроля за расходованием государственной субсидии на строительство объекта «Школа 1000 мест»</w:t>
      </w:r>
    </w:p>
    <w:p w14:paraId="512856B8" w14:textId="77777777" w:rsidR="00C978A3" w:rsidRDefault="00C978A3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</w:p>
    <w:p w14:paraId="4854822B" w14:textId="58A588F1" w:rsidR="00C978A3" w:rsidRDefault="00C978A3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Полная стоимость строительства объекта – 1 700 000,00 тыс. руб.</w:t>
      </w:r>
      <w:r w:rsidR="00DD475B">
        <w:rPr>
          <w:rFonts w:eastAsia="Calibri"/>
          <w:sz w:val="24"/>
          <w:szCs w:val="24"/>
        </w:rPr>
        <w:t>, с НДС.</w:t>
      </w:r>
    </w:p>
    <w:p w14:paraId="318EE5C4" w14:textId="13A1FBD3" w:rsidR="00C978A3" w:rsidRDefault="00C978A3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</w:t>
      </w:r>
      <w:r w:rsidRPr="00DE41CA">
        <w:rPr>
          <w:rFonts w:eastAsia="Calibri"/>
          <w:sz w:val="24"/>
          <w:szCs w:val="24"/>
        </w:rPr>
        <w:t>родолжительност</w:t>
      </w:r>
      <w:r>
        <w:rPr>
          <w:rFonts w:eastAsia="Calibri"/>
          <w:sz w:val="24"/>
          <w:szCs w:val="24"/>
        </w:rPr>
        <w:t>ь</w:t>
      </w:r>
      <w:r w:rsidRPr="00DE41C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строительства объекта – 36 мес.</w:t>
      </w:r>
    </w:p>
    <w:p w14:paraId="54D47526" w14:textId="353F9F71" w:rsidR="00C978A3" w:rsidRDefault="00C978A3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Затраты застройщика, оплачиваемые уполномоченной организации АО «АО» </w:t>
      </w:r>
      <w:r w:rsidR="00DD475B">
        <w:rPr>
          <w:rFonts w:eastAsia="Calibri"/>
          <w:sz w:val="24"/>
          <w:szCs w:val="24"/>
        </w:rPr>
        <w:t xml:space="preserve">за осуществление государственного контроля за расходованием субсидии по договору … </w:t>
      </w:r>
      <w:r>
        <w:rPr>
          <w:rFonts w:eastAsia="Calibri"/>
          <w:sz w:val="24"/>
          <w:szCs w:val="24"/>
        </w:rPr>
        <w:t>– 400</w:t>
      </w:r>
      <w:r w:rsidR="00DD475B">
        <w:rPr>
          <w:rFonts w:eastAsia="Calibri"/>
          <w:sz w:val="24"/>
          <w:szCs w:val="24"/>
        </w:rPr>
        <w:t>,00 тыс. рублей., с НДС, ежемесячно.</w:t>
      </w:r>
    </w:p>
    <w:p w14:paraId="273525B2" w14:textId="77777777" w:rsidR="00DD475B" w:rsidRDefault="00DD475B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Всего затрат: </w:t>
      </w:r>
    </w:p>
    <w:p w14:paraId="29A8359D" w14:textId="521C6AAC" w:rsidR="00DD475B" w:rsidRDefault="00DD475B" w:rsidP="00DD475B">
      <w:pPr>
        <w:widowControl w:val="0"/>
        <w:snapToGri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36 х 400 = </w:t>
      </w:r>
      <w:r w:rsidRPr="00DD475B">
        <w:rPr>
          <w:rFonts w:eastAsia="Calibri"/>
          <w:sz w:val="24"/>
          <w:szCs w:val="24"/>
        </w:rPr>
        <w:t>14</w:t>
      </w:r>
      <w:r>
        <w:rPr>
          <w:rFonts w:eastAsia="Calibri"/>
          <w:sz w:val="24"/>
          <w:szCs w:val="24"/>
        </w:rPr>
        <w:t> </w:t>
      </w:r>
      <w:r w:rsidRPr="00DD475B">
        <w:rPr>
          <w:rFonts w:eastAsia="Calibri"/>
          <w:sz w:val="24"/>
          <w:szCs w:val="24"/>
        </w:rPr>
        <w:t>400</w:t>
      </w:r>
      <w:r>
        <w:rPr>
          <w:rFonts w:eastAsia="Calibri"/>
          <w:sz w:val="24"/>
          <w:szCs w:val="24"/>
        </w:rPr>
        <w:t>,00 тыс. руб. с НДС</w:t>
      </w:r>
    </w:p>
    <w:p w14:paraId="704222CC" w14:textId="1CE3591C" w:rsidR="00DD475B" w:rsidRDefault="00DD475B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Справочно: затраты застройщика на осуществление собственного строительного контроля – </w:t>
      </w:r>
      <w:r w:rsidRPr="00DD475B">
        <w:rPr>
          <w:rFonts w:eastAsia="Calibri"/>
          <w:sz w:val="24"/>
          <w:szCs w:val="24"/>
        </w:rPr>
        <w:t>23</w:t>
      </w:r>
      <w:r>
        <w:rPr>
          <w:rFonts w:eastAsia="Calibri"/>
          <w:sz w:val="24"/>
          <w:szCs w:val="24"/>
        </w:rPr>
        <w:t> </w:t>
      </w:r>
      <w:r w:rsidRPr="00DD475B">
        <w:rPr>
          <w:rFonts w:eastAsia="Calibri"/>
          <w:sz w:val="24"/>
          <w:szCs w:val="24"/>
        </w:rPr>
        <w:t>520</w:t>
      </w:r>
      <w:r>
        <w:rPr>
          <w:rFonts w:eastAsia="Calibri"/>
          <w:sz w:val="24"/>
          <w:szCs w:val="24"/>
        </w:rPr>
        <w:t>,00 тыс. руб., с НДС (определено по сметному расчёту с н</w:t>
      </w:r>
      <w:r w:rsidRPr="00DD475B">
        <w:rPr>
          <w:rFonts w:eastAsia="Calibri"/>
          <w:sz w:val="24"/>
          <w:szCs w:val="24"/>
        </w:rPr>
        <w:t>орматив</w:t>
      </w:r>
      <w:r>
        <w:rPr>
          <w:rFonts w:eastAsia="Calibri"/>
          <w:sz w:val="24"/>
          <w:szCs w:val="24"/>
        </w:rPr>
        <w:t>ом</w:t>
      </w:r>
      <w:r w:rsidRPr="00DD475B">
        <w:rPr>
          <w:rFonts w:eastAsia="Calibri"/>
          <w:sz w:val="24"/>
          <w:szCs w:val="24"/>
        </w:rPr>
        <w:t xml:space="preserve"> расходов заказчика на осуществление строительного контроля </w:t>
      </w:r>
      <w:r>
        <w:rPr>
          <w:rFonts w:eastAsia="Calibri"/>
          <w:sz w:val="24"/>
          <w:szCs w:val="24"/>
        </w:rPr>
        <w:t>1,47%)</w:t>
      </w:r>
    </w:p>
    <w:p w14:paraId="235D6C9C" w14:textId="77777777" w:rsidR="00DD475B" w:rsidRDefault="00DD475B" w:rsidP="00C45582">
      <w:pPr>
        <w:widowControl w:val="0"/>
        <w:snapToGrid w:val="0"/>
        <w:jc w:val="both"/>
        <w:rPr>
          <w:rFonts w:eastAsia="Calibri"/>
          <w:sz w:val="24"/>
          <w:szCs w:val="24"/>
        </w:rPr>
      </w:pPr>
    </w:p>
    <w:p w14:paraId="3F9B34EC" w14:textId="77777777" w:rsidR="003B6CF8" w:rsidRDefault="00BA2338" w:rsidP="00544CBE">
      <w:pPr>
        <w:spacing w:after="0"/>
        <w:jc w:val="both"/>
      </w:pPr>
      <w:r w:rsidRPr="003B6CF8">
        <w:rPr>
          <w:b/>
          <w:bCs/>
        </w:rPr>
        <w:t>Предлагается</w:t>
      </w:r>
      <w:r>
        <w:t xml:space="preserve">: </w:t>
      </w:r>
    </w:p>
    <w:p w14:paraId="2C3E052E" w14:textId="55852431" w:rsidR="003B6CF8" w:rsidRDefault="00034B0A" w:rsidP="003B6CF8">
      <w:pPr>
        <w:pStyle w:val="a7"/>
        <w:numPr>
          <w:ilvl w:val="0"/>
          <w:numId w:val="4"/>
        </w:numPr>
        <w:spacing w:after="0"/>
        <w:jc w:val="both"/>
      </w:pPr>
      <w:r>
        <w:t>Доработать (р</w:t>
      </w:r>
      <w:r w:rsidR="003B6CF8">
        <w:t>азработать</w:t>
      </w:r>
      <w:r>
        <w:t xml:space="preserve"> положение норматива)</w:t>
      </w:r>
      <w:r w:rsidR="003B6CF8">
        <w:t xml:space="preserve"> </w:t>
      </w:r>
      <w:r w:rsidR="002000D9">
        <w:t>приказ 421/</w:t>
      </w:r>
      <w:proofErr w:type="spellStart"/>
      <w:r w:rsidR="002000D9">
        <w:t>пр</w:t>
      </w:r>
      <w:proofErr w:type="spellEnd"/>
      <w:r w:rsidR="002000D9">
        <w:t xml:space="preserve"> </w:t>
      </w:r>
      <w:r w:rsidR="00BA2338">
        <w:t>(с пример</w:t>
      </w:r>
      <w:r w:rsidR="002000D9">
        <w:t>ами</w:t>
      </w:r>
      <w:r w:rsidR="00BA2338">
        <w:t xml:space="preserve"> </w:t>
      </w:r>
      <w:r w:rsidR="002000D9">
        <w:t>применения</w:t>
      </w:r>
      <w:r w:rsidR="00BA2338">
        <w:t xml:space="preserve">) по выполнению сметного расчёта </w:t>
      </w:r>
      <w:r>
        <w:t xml:space="preserve">компенсации </w:t>
      </w:r>
      <w:r w:rsidR="002000D9">
        <w:t xml:space="preserve">затрат на </w:t>
      </w:r>
      <w:r w:rsidR="002000D9" w:rsidRPr="002000D9">
        <w:t xml:space="preserve">контроль за </w:t>
      </w:r>
      <w:r>
        <w:t xml:space="preserve">расходованием </w:t>
      </w:r>
      <w:r w:rsidR="002000D9" w:rsidRPr="002000D9">
        <w:t>государственной субсидией</w:t>
      </w:r>
      <w:r w:rsidR="002000D9">
        <w:t>.</w:t>
      </w:r>
    </w:p>
    <w:p w14:paraId="557D6075" w14:textId="77777777" w:rsidR="00C45582" w:rsidRDefault="00C45582" w:rsidP="00544CBE">
      <w:pPr>
        <w:spacing w:after="0"/>
        <w:jc w:val="both"/>
      </w:pPr>
    </w:p>
    <w:p w14:paraId="638A1DF2" w14:textId="38287D0B" w:rsidR="005315BC" w:rsidRDefault="006F5E18" w:rsidP="00544CBE">
      <w:pPr>
        <w:spacing w:after="0"/>
        <w:jc w:val="both"/>
      </w:pPr>
      <w:r>
        <w:rPr>
          <w:b/>
          <w:bCs/>
        </w:rPr>
        <w:t xml:space="preserve">Расходы </w:t>
      </w:r>
      <w:r w:rsidRPr="006F5E18">
        <w:t xml:space="preserve">на реализацию инициативы </w:t>
      </w:r>
      <w:r w:rsidR="000C0EAE">
        <w:t>не требуются (работы выполняются штатными сотрудниками Минстроя, Главгосэкспертизы)</w:t>
      </w:r>
      <w:r w:rsidR="00B65E75">
        <w:t>.</w:t>
      </w:r>
    </w:p>
    <w:p w14:paraId="16716D0D" w14:textId="15F93BC5" w:rsidR="00B65E75" w:rsidRPr="00B65E75" w:rsidRDefault="00B65E75" w:rsidP="00544CBE">
      <w:pPr>
        <w:spacing w:after="0"/>
        <w:jc w:val="both"/>
        <w:rPr>
          <w:b/>
          <w:bCs/>
        </w:rPr>
      </w:pPr>
      <w:r w:rsidRPr="00B65E75">
        <w:rPr>
          <w:b/>
          <w:bCs/>
        </w:rPr>
        <w:t>Результаты:</w:t>
      </w:r>
    </w:p>
    <w:p w14:paraId="12FA9101" w14:textId="77777777" w:rsidR="006F5E18" w:rsidRPr="006F5E18" w:rsidRDefault="006F5E18" w:rsidP="006F5E18">
      <w:pPr>
        <w:pStyle w:val="a7"/>
        <w:numPr>
          <w:ilvl w:val="0"/>
          <w:numId w:val="2"/>
        </w:numPr>
        <w:spacing w:after="0"/>
        <w:jc w:val="both"/>
      </w:pPr>
      <w:r w:rsidRPr="006F5E18">
        <w:t xml:space="preserve">повышение достоверности сметной стоимости; </w:t>
      </w:r>
    </w:p>
    <w:p w14:paraId="1F1EE39E" w14:textId="77777777" w:rsidR="00B65E75" w:rsidRPr="00B65E75" w:rsidRDefault="00B65E75" w:rsidP="00B65E75">
      <w:pPr>
        <w:spacing w:after="0"/>
        <w:jc w:val="both"/>
        <w:rPr>
          <w:b/>
          <w:bCs/>
        </w:rPr>
      </w:pPr>
      <w:r w:rsidRPr="00B65E75">
        <w:rPr>
          <w:b/>
          <w:bCs/>
        </w:rPr>
        <w:t xml:space="preserve">Риски: </w:t>
      </w:r>
    </w:p>
    <w:p w14:paraId="60AFB2A0" w14:textId="55DA3A71" w:rsidR="005315BC" w:rsidRPr="006F5E18" w:rsidRDefault="006F5E18" w:rsidP="006F5E18">
      <w:pPr>
        <w:pStyle w:val="a7"/>
        <w:numPr>
          <w:ilvl w:val="0"/>
          <w:numId w:val="2"/>
        </w:numPr>
        <w:spacing w:after="0"/>
        <w:jc w:val="both"/>
      </w:pPr>
      <w:r w:rsidRPr="006F5E18">
        <w:t>повышение расходов бюджета;</w:t>
      </w:r>
    </w:p>
    <w:p w14:paraId="1C2458D3" w14:textId="0F67E831" w:rsidR="00BA2338" w:rsidRDefault="005315BC" w:rsidP="00544CBE">
      <w:pPr>
        <w:spacing w:after="0"/>
        <w:jc w:val="both"/>
      </w:pPr>
      <w:r w:rsidRPr="005315BC">
        <w:rPr>
          <w:b/>
          <w:bCs/>
        </w:rPr>
        <w:t>Сроки</w:t>
      </w:r>
      <w:r>
        <w:t xml:space="preserve"> </w:t>
      </w:r>
      <w:r w:rsidR="00BA2338">
        <w:t>реализации мероприятия:</w:t>
      </w:r>
    </w:p>
    <w:p w14:paraId="24823E08" w14:textId="13532856" w:rsidR="00BA2338" w:rsidRDefault="000C0EAE" w:rsidP="00BA2338">
      <w:pPr>
        <w:pStyle w:val="a7"/>
        <w:numPr>
          <w:ilvl w:val="0"/>
          <w:numId w:val="3"/>
        </w:numPr>
        <w:spacing w:after="0"/>
        <w:jc w:val="both"/>
      </w:pPr>
      <w:r>
        <w:t>сбор и анализ данных</w:t>
      </w:r>
      <w:r w:rsidR="002000D9">
        <w:t>, подготовка предложения</w:t>
      </w:r>
      <w:r w:rsidR="00BA2338">
        <w:t xml:space="preserve"> – 1 год;</w:t>
      </w:r>
    </w:p>
    <w:p w14:paraId="6CDFAABF" w14:textId="09FDC3BC" w:rsidR="00BA2338" w:rsidRDefault="00BA2338" w:rsidP="00BA2338">
      <w:pPr>
        <w:pStyle w:val="a7"/>
        <w:numPr>
          <w:ilvl w:val="0"/>
          <w:numId w:val="3"/>
        </w:numPr>
        <w:spacing w:after="0"/>
        <w:jc w:val="both"/>
      </w:pPr>
      <w:r>
        <w:t xml:space="preserve">внесение </w:t>
      </w:r>
      <w:r w:rsidR="002000D9">
        <w:t xml:space="preserve">предложения </w:t>
      </w:r>
      <w:r>
        <w:t xml:space="preserve">в План </w:t>
      </w:r>
      <w:r w:rsidRPr="00BA2338">
        <w:t xml:space="preserve">утверждения (актуализации) сметных нормативов </w:t>
      </w:r>
      <w:r>
        <w:t>– 1 год;</w:t>
      </w:r>
    </w:p>
    <w:p w14:paraId="16FCC715" w14:textId="0F894C0D" w:rsidR="00BA2338" w:rsidRDefault="000C0EAE" w:rsidP="00BA2338">
      <w:pPr>
        <w:pStyle w:val="a7"/>
        <w:numPr>
          <w:ilvl w:val="0"/>
          <w:numId w:val="3"/>
        </w:numPr>
        <w:spacing w:after="0"/>
        <w:jc w:val="both"/>
      </w:pPr>
      <w:r>
        <w:t>разработка методики учёта затрат</w:t>
      </w:r>
      <w:r w:rsidR="002000D9">
        <w:t xml:space="preserve"> </w:t>
      </w:r>
      <w:r w:rsidR="00BA2338">
        <w:t>– 1 год;</w:t>
      </w:r>
    </w:p>
    <w:p w14:paraId="715F146B" w14:textId="158FA024" w:rsidR="00BA2338" w:rsidRDefault="000C0EAE" w:rsidP="00BA2338">
      <w:pPr>
        <w:pStyle w:val="a7"/>
        <w:numPr>
          <w:ilvl w:val="0"/>
          <w:numId w:val="3"/>
        </w:numPr>
        <w:spacing w:after="0"/>
        <w:jc w:val="both"/>
      </w:pPr>
      <w:r>
        <w:t xml:space="preserve">рассмотрение </w:t>
      </w:r>
      <w:r w:rsidR="00BA2338">
        <w:t>разработанн</w:t>
      </w:r>
      <w:r w:rsidR="002000D9">
        <w:t>ой методики</w:t>
      </w:r>
      <w:r w:rsidR="00BA2338">
        <w:t xml:space="preserve"> – 1 год;</w:t>
      </w:r>
    </w:p>
    <w:p w14:paraId="5A0F6A98" w14:textId="70326798" w:rsidR="00932AB9" w:rsidRDefault="000C0EAE" w:rsidP="00BA2338">
      <w:pPr>
        <w:pStyle w:val="a7"/>
        <w:numPr>
          <w:ilvl w:val="0"/>
          <w:numId w:val="3"/>
        </w:numPr>
        <w:spacing w:after="0"/>
        <w:jc w:val="both"/>
      </w:pPr>
      <w:r>
        <w:t xml:space="preserve">корректировка </w:t>
      </w:r>
      <w:r w:rsidR="00932AB9">
        <w:t>по замечаниям разработанных сметн</w:t>
      </w:r>
      <w:r w:rsidR="002000D9">
        <w:t>ого норматива</w:t>
      </w:r>
      <w:r w:rsidR="00932AB9">
        <w:t xml:space="preserve"> – </w:t>
      </w:r>
      <w:r w:rsidR="002000D9">
        <w:t>в срок по п. 4;</w:t>
      </w:r>
    </w:p>
    <w:p w14:paraId="094CAA32" w14:textId="12353C13" w:rsidR="002000D9" w:rsidRDefault="002000D9" w:rsidP="00BA2338">
      <w:pPr>
        <w:pStyle w:val="a7"/>
        <w:numPr>
          <w:ilvl w:val="0"/>
          <w:numId w:val="3"/>
        </w:numPr>
        <w:spacing w:after="0"/>
        <w:jc w:val="both"/>
      </w:pPr>
      <w:r>
        <w:t>Согласование с Минюстом проекта приказа Минстроя – в срок по п. 5;</w:t>
      </w:r>
    </w:p>
    <w:p w14:paraId="55E9C983" w14:textId="22B4A66E" w:rsidR="00932AB9" w:rsidRDefault="00932AB9" w:rsidP="00932AB9">
      <w:pPr>
        <w:spacing w:after="0"/>
        <w:ind w:left="360" w:firstLine="348"/>
        <w:jc w:val="both"/>
      </w:pPr>
      <w:r>
        <w:t>Повторное рассмотрение по п. 4 и корректировка по п. 5</w:t>
      </w:r>
      <w:r w:rsidR="002000D9">
        <w:t>, 6;</w:t>
      </w:r>
    </w:p>
    <w:p w14:paraId="4421C5FF" w14:textId="7F7EEE73" w:rsidR="00BA2338" w:rsidRDefault="00BA2338" w:rsidP="00BA2338">
      <w:pPr>
        <w:pStyle w:val="a7"/>
        <w:numPr>
          <w:ilvl w:val="0"/>
          <w:numId w:val="3"/>
        </w:numPr>
        <w:spacing w:after="0"/>
        <w:jc w:val="both"/>
      </w:pPr>
      <w:r>
        <w:t>Утверждение Минстрое</w:t>
      </w:r>
      <w:r w:rsidR="006F5E18">
        <w:t>м</w:t>
      </w:r>
      <w:r>
        <w:t xml:space="preserve"> нов</w:t>
      </w:r>
      <w:r w:rsidR="006F5E18">
        <w:t>ых</w:t>
      </w:r>
      <w:r>
        <w:t xml:space="preserve"> расцен</w:t>
      </w:r>
      <w:r w:rsidR="006F5E18">
        <w:t>ок, методик</w:t>
      </w:r>
      <w:r>
        <w:t xml:space="preserve"> – 1 год</w:t>
      </w:r>
      <w:r w:rsidR="00932AB9">
        <w:t>.</w:t>
      </w:r>
    </w:p>
    <w:p w14:paraId="1711F236" w14:textId="1EF14CC3" w:rsidR="00BA2338" w:rsidRDefault="006F5E18" w:rsidP="00544CBE">
      <w:pPr>
        <w:spacing w:after="0"/>
        <w:jc w:val="both"/>
      </w:pPr>
      <w:r>
        <w:t xml:space="preserve">Общий срок – до </w:t>
      </w:r>
      <w:r w:rsidR="002000D9">
        <w:t>5</w:t>
      </w:r>
      <w:r>
        <w:t xml:space="preserve"> лет.</w:t>
      </w:r>
    </w:p>
    <w:p w14:paraId="45E5528C" w14:textId="77777777" w:rsidR="006F5E18" w:rsidRDefault="006F5E18" w:rsidP="00544CBE">
      <w:pPr>
        <w:spacing w:after="0"/>
        <w:jc w:val="both"/>
      </w:pPr>
    </w:p>
    <w:p w14:paraId="565643A8" w14:textId="08CA41D7" w:rsidR="006F5E18" w:rsidRDefault="003B6CF8" w:rsidP="00544CBE">
      <w:pPr>
        <w:spacing w:after="0"/>
        <w:jc w:val="both"/>
      </w:pPr>
      <w:r>
        <w:t>2025.07.20</w:t>
      </w:r>
    </w:p>
    <w:sectPr w:rsidR="006F5E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D6F"/>
    <w:multiLevelType w:val="hybridMultilevel"/>
    <w:tmpl w:val="6A105238"/>
    <w:lvl w:ilvl="0" w:tplc="C3E49B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2A1B"/>
    <w:multiLevelType w:val="hybridMultilevel"/>
    <w:tmpl w:val="7E588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7159E"/>
    <w:multiLevelType w:val="hybridMultilevel"/>
    <w:tmpl w:val="00146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E075A"/>
    <w:multiLevelType w:val="hybridMultilevel"/>
    <w:tmpl w:val="3C026FD2"/>
    <w:lvl w:ilvl="0" w:tplc="4A00330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6480831">
    <w:abstractNumId w:val="3"/>
  </w:num>
  <w:num w:numId="2" w16cid:durableId="54738916">
    <w:abstractNumId w:val="0"/>
  </w:num>
  <w:num w:numId="3" w16cid:durableId="552619736">
    <w:abstractNumId w:val="2"/>
  </w:num>
  <w:num w:numId="4" w16cid:durableId="10211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89"/>
    <w:rsid w:val="00034B0A"/>
    <w:rsid w:val="000C0EAE"/>
    <w:rsid w:val="00187FAB"/>
    <w:rsid w:val="002000D9"/>
    <w:rsid w:val="002025EC"/>
    <w:rsid w:val="00304448"/>
    <w:rsid w:val="003B6CF8"/>
    <w:rsid w:val="003E246B"/>
    <w:rsid w:val="0044408F"/>
    <w:rsid w:val="004B185E"/>
    <w:rsid w:val="00525486"/>
    <w:rsid w:val="005315BC"/>
    <w:rsid w:val="00544CBE"/>
    <w:rsid w:val="006C0B77"/>
    <w:rsid w:val="006F5E18"/>
    <w:rsid w:val="00782D39"/>
    <w:rsid w:val="007D3450"/>
    <w:rsid w:val="008242FF"/>
    <w:rsid w:val="00870751"/>
    <w:rsid w:val="008D5242"/>
    <w:rsid w:val="00900385"/>
    <w:rsid w:val="00922C48"/>
    <w:rsid w:val="00932AB9"/>
    <w:rsid w:val="00A064C4"/>
    <w:rsid w:val="00AB7531"/>
    <w:rsid w:val="00B65E75"/>
    <w:rsid w:val="00B915B7"/>
    <w:rsid w:val="00BA2338"/>
    <w:rsid w:val="00BC351C"/>
    <w:rsid w:val="00BD3D82"/>
    <w:rsid w:val="00BE0989"/>
    <w:rsid w:val="00C45582"/>
    <w:rsid w:val="00C978A3"/>
    <w:rsid w:val="00D74F0C"/>
    <w:rsid w:val="00DD475B"/>
    <w:rsid w:val="00E33C15"/>
    <w:rsid w:val="00EA59DF"/>
    <w:rsid w:val="00EE4070"/>
    <w:rsid w:val="00F12C76"/>
    <w:rsid w:val="00F17748"/>
    <w:rsid w:val="00F91FBA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5828"/>
  <w15:chartTrackingRefBased/>
  <w15:docId w15:val="{B3D3A408-D747-4868-B1C8-F1A0730D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0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9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9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9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9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98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098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09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09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09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09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0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9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9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0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9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98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09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4CB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4CBE"/>
    <w:rPr>
      <w:color w:val="605E5C"/>
      <w:shd w:val="clear" w:color="auto" w:fill="E1DFDD"/>
    </w:rPr>
  </w:style>
  <w:style w:type="paragraph" w:customStyle="1" w:styleId="ae">
    <w:name w:val="Обычный абзац"/>
    <w:basedOn w:val="a"/>
    <w:qFormat/>
    <w:rsid w:val="00544CBE"/>
    <w:pPr>
      <w:spacing w:after="0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met4uk.ru/forum/2-43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2025-07-20T06:25:00Z</dcterms:created>
  <dcterms:modified xsi:type="dcterms:W3CDTF">2025-07-20T08:51:00Z</dcterms:modified>
</cp:coreProperties>
</file>