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0241" w14:textId="790895F1" w:rsidR="00F12C76" w:rsidRPr="00BA2338" w:rsidRDefault="00BE0989" w:rsidP="00BA2338">
      <w:pPr>
        <w:spacing w:after="0"/>
        <w:jc w:val="center"/>
        <w:rPr>
          <w:b/>
          <w:bCs/>
        </w:rPr>
      </w:pPr>
      <w:r w:rsidRPr="00BA2338">
        <w:rPr>
          <w:b/>
          <w:bCs/>
        </w:rPr>
        <w:t xml:space="preserve">Недостатки </w:t>
      </w:r>
      <w:proofErr w:type="spellStart"/>
      <w:r w:rsidRPr="00BA2338">
        <w:rPr>
          <w:b/>
          <w:bCs/>
        </w:rPr>
        <w:t>ФСНБ</w:t>
      </w:r>
      <w:proofErr w:type="spellEnd"/>
    </w:p>
    <w:p w14:paraId="4EE225B9" w14:textId="77777777" w:rsidR="00BE0989" w:rsidRDefault="00BE0989" w:rsidP="006C0B77">
      <w:pPr>
        <w:spacing w:after="0"/>
        <w:ind w:firstLine="709"/>
        <w:jc w:val="both"/>
      </w:pPr>
    </w:p>
    <w:p w14:paraId="1738B5F7" w14:textId="750D8C87" w:rsidR="006F5E18" w:rsidRDefault="006F5E18" w:rsidP="003B6CF8">
      <w:pPr>
        <w:spacing w:after="0"/>
        <w:jc w:val="both"/>
      </w:pPr>
      <w:r>
        <w:t>Для ф</w:t>
      </w:r>
      <w:r w:rsidRPr="006F5E18">
        <w:t>едеральн</w:t>
      </w:r>
      <w:r>
        <w:t>ой</w:t>
      </w:r>
      <w:r w:rsidRPr="006F5E18">
        <w:t xml:space="preserve"> сметн</w:t>
      </w:r>
      <w:r>
        <w:t>ой</w:t>
      </w:r>
      <w:r w:rsidRPr="006F5E18">
        <w:t xml:space="preserve"> нормативн</w:t>
      </w:r>
      <w:r>
        <w:t>ой</w:t>
      </w:r>
      <w:r w:rsidRPr="006F5E18">
        <w:t xml:space="preserve"> баз</w:t>
      </w:r>
      <w:r>
        <w:t>ы</w:t>
      </w:r>
      <w:r w:rsidRPr="006F5E18">
        <w:t xml:space="preserve"> </w:t>
      </w:r>
      <w:proofErr w:type="spellStart"/>
      <w:r w:rsidRPr="006F5E18">
        <w:t>ФСНБ</w:t>
      </w:r>
      <w:proofErr w:type="spellEnd"/>
      <w:r w:rsidRPr="006F5E18">
        <w:t>-2022</w:t>
      </w:r>
      <w:r>
        <w:t xml:space="preserve"> с изменениями 1-14</w:t>
      </w:r>
      <w:r w:rsidR="003B6CF8">
        <w:t xml:space="preserve"> на 20.07.2025 г</w:t>
      </w:r>
      <w:r>
        <w:t xml:space="preserve">. </w:t>
      </w:r>
    </w:p>
    <w:p w14:paraId="01F08A55" w14:textId="77777777" w:rsidR="00BE0989" w:rsidRDefault="00BE0989" w:rsidP="00B65E75">
      <w:pPr>
        <w:spacing w:after="0"/>
        <w:jc w:val="both"/>
      </w:pPr>
    </w:p>
    <w:p w14:paraId="62AB9EE9" w14:textId="043BFE1F" w:rsidR="00B65E75" w:rsidRDefault="00B65E75" w:rsidP="00B65E75">
      <w:pPr>
        <w:spacing w:after="0"/>
        <w:jc w:val="both"/>
      </w:pPr>
      <w:r w:rsidRPr="00B65E75">
        <w:rPr>
          <w:b/>
          <w:bCs/>
        </w:rPr>
        <w:t>Описание</w:t>
      </w:r>
      <w:r>
        <w:t xml:space="preserve"> недостатка </w:t>
      </w:r>
      <w:proofErr w:type="spellStart"/>
      <w:r>
        <w:t>ФСНБ</w:t>
      </w:r>
      <w:proofErr w:type="spellEnd"/>
    </w:p>
    <w:p w14:paraId="47B0DDC0" w14:textId="654F2152" w:rsidR="00544CBE" w:rsidRPr="00B65E75" w:rsidRDefault="00B65E75" w:rsidP="00B65E75">
      <w:pPr>
        <w:spacing w:after="0"/>
        <w:jc w:val="both"/>
        <w:rPr>
          <w:u w:val="single"/>
        </w:rPr>
      </w:pPr>
      <w:r w:rsidRPr="00B65E75">
        <w:rPr>
          <w:u w:val="single"/>
        </w:rPr>
        <w:t xml:space="preserve">1) </w:t>
      </w:r>
      <w:r w:rsidR="00544CBE" w:rsidRPr="00B65E75">
        <w:rPr>
          <w:u w:val="single"/>
        </w:rPr>
        <w:t>Водоотлив</w:t>
      </w:r>
    </w:p>
    <w:p w14:paraId="041A68FC" w14:textId="46E2BE11" w:rsidR="00544CBE" w:rsidRDefault="00544CBE" w:rsidP="00544CBE">
      <w:pPr>
        <w:pStyle w:val="ae"/>
      </w:pPr>
      <w:r>
        <w:t xml:space="preserve">При строительстве </w:t>
      </w:r>
      <w:r w:rsidR="004B185E">
        <w:t xml:space="preserve">часто необходим водоотлив из котлованов и траншей. </w:t>
      </w:r>
      <w:r w:rsidR="00B65E75">
        <w:t>И</w:t>
      </w:r>
      <w:r>
        <w:t>ме</w:t>
      </w:r>
      <w:r w:rsidR="00B65E75">
        <w:t>ю</w:t>
      </w:r>
      <w:r>
        <w:t>тся расценк</w:t>
      </w:r>
      <w:r w:rsidR="00B65E75">
        <w:t>и</w:t>
      </w:r>
      <w:r>
        <w:t xml:space="preserve"> </w:t>
      </w:r>
      <w:proofErr w:type="spellStart"/>
      <w:r>
        <w:t>ГЭСН</w:t>
      </w:r>
      <w:r w:rsidRPr="00544CBE">
        <w:t>01</w:t>
      </w:r>
      <w:proofErr w:type="spellEnd"/>
      <w:r w:rsidRPr="00544CBE">
        <w:t>-02-068-</w:t>
      </w:r>
      <w:r>
        <w:t>… «</w:t>
      </w:r>
      <w:proofErr w:type="spellStart"/>
      <w:r>
        <w:t>Водооотлив</w:t>
      </w:r>
      <w:proofErr w:type="spellEnd"/>
      <w:r>
        <w:t xml:space="preserve"> …». Однако ТЧ сборника «Земляные работы» </w:t>
      </w:r>
      <w:r w:rsidR="00B65E75" w:rsidRPr="00B65E75">
        <w:t>установлены</w:t>
      </w:r>
      <w:r>
        <w:t xml:space="preserve"> условия для применения расценки на водоотливные работы:</w:t>
      </w:r>
    </w:p>
    <w:p w14:paraId="06C87BE9" w14:textId="62AC667C" w:rsidR="00544CBE" w:rsidRDefault="00544CBE" w:rsidP="00BA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both"/>
      </w:pPr>
      <w:r>
        <w:t xml:space="preserve">«1.1.2 … </w:t>
      </w:r>
      <w:r w:rsidRPr="00544CBE">
        <w:t>Затраты на проведение водоотливных работ при разработке грунтов исчисляются только на объем грунта, лежащего ниже проектного уровня грунтовых вод.</w:t>
      </w:r>
    </w:p>
    <w:p w14:paraId="3D000D7B" w14:textId="7890206C" w:rsidR="00544CBE" w:rsidRDefault="00544CBE" w:rsidP="00BA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both"/>
      </w:pPr>
      <w:r w:rsidRPr="00544CBE">
        <w:t xml:space="preserve">При </w:t>
      </w:r>
      <w:bookmarkStart w:id="0" w:name="searchresult1"/>
      <w:r w:rsidRPr="00544CBE">
        <w:t>водоотливе</w:t>
      </w:r>
      <w:bookmarkEnd w:id="0"/>
      <w:r w:rsidRPr="00544CBE">
        <w:t xml:space="preserve"> из котлованов площадью по дну до 30 м2 и траншеи шириной по дну до 2 м, за исключением траншей уличных и внеплощадочных коммуникаций применяются </w:t>
      </w:r>
      <w:proofErr w:type="spellStart"/>
      <w:r w:rsidRPr="00544CBE">
        <w:t>ГЭСН</w:t>
      </w:r>
      <w:proofErr w:type="spellEnd"/>
      <w:r w:rsidRPr="00544CBE">
        <w:t xml:space="preserve">, </w:t>
      </w:r>
      <w:r w:rsidR="003E246B" w:rsidRPr="00544CBE">
        <w:t>приведённые</w:t>
      </w:r>
      <w:r w:rsidRPr="00544CBE">
        <w:t xml:space="preserve"> в табл. 01-02-068; при </w:t>
      </w:r>
      <w:bookmarkStart w:id="1" w:name="searchresult2"/>
      <w:r w:rsidRPr="00544CBE">
        <w:t>водоотливе</w:t>
      </w:r>
      <w:bookmarkEnd w:id="1"/>
      <w:r w:rsidRPr="00544CBE">
        <w:t xml:space="preserve"> из котлованов площадью по дну более 30 м2, из траншей шириной по дну более 2 м, а также из траншей для внеплощадочных и уличных коммуникаций составляются сметные нормы на основании проектных данных о силе притока воды, продолжительности производства </w:t>
      </w:r>
      <w:bookmarkStart w:id="2" w:name="searchresult3"/>
      <w:r w:rsidRPr="00544CBE">
        <w:t>водоотливных</w:t>
      </w:r>
      <w:bookmarkEnd w:id="2"/>
      <w:r w:rsidRPr="00544CBE">
        <w:t xml:space="preserve"> работ и применяемых </w:t>
      </w:r>
      <w:bookmarkStart w:id="3" w:name="searchresult4"/>
      <w:r w:rsidRPr="00544CBE">
        <w:t>водоотливных</w:t>
      </w:r>
      <w:bookmarkEnd w:id="3"/>
      <w:r w:rsidRPr="00544CBE">
        <w:t xml:space="preserve"> средствах.</w:t>
      </w:r>
      <w:r>
        <w:t xml:space="preserve"> </w:t>
      </w:r>
    </w:p>
    <w:p w14:paraId="043FC384" w14:textId="3C08C221" w:rsidR="00544CBE" w:rsidRDefault="00544CBE" w:rsidP="00BA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both"/>
      </w:pPr>
      <w:r w:rsidRPr="00544CBE">
        <w:t xml:space="preserve">В нормах </w:t>
      </w:r>
      <w:proofErr w:type="spellStart"/>
      <w:r w:rsidRPr="00544CBE">
        <w:t>ГЭСН</w:t>
      </w:r>
      <w:proofErr w:type="spellEnd"/>
      <w:r w:rsidRPr="00544CBE">
        <w:t xml:space="preserve"> табл. 01-02-068 учтена обязательная эксплуатация резервного насоса</w:t>
      </w:r>
      <w:r>
        <w:t xml:space="preserve"> …»</w:t>
      </w:r>
    </w:p>
    <w:p w14:paraId="30F07814" w14:textId="77777777" w:rsidR="00544CBE" w:rsidRDefault="00544CBE" w:rsidP="00544CBE">
      <w:pPr>
        <w:spacing w:after="0"/>
        <w:jc w:val="both"/>
      </w:pPr>
    </w:p>
    <w:p w14:paraId="2703CEA8" w14:textId="468C5AF9" w:rsidR="003E246B" w:rsidRDefault="00544CBE" w:rsidP="00BA2338">
      <w:pPr>
        <w:pStyle w:val="ae"/>
      </w:pPr>
      <w:r>
        <w:t>Таким образом, при наличии</w:t>
      </w:r>
      <w:r w:rsidR="003E246B">
        <w:t>:</w:t>
      </w:r>
    </w:p>
    <w:p w14:paraId="220F1C8A" w14:textId="4AECAEAD" w:rsidR="003E246B" w:rsidRDefault="00544CBE" w:rsidP="003E246B">
      <w:pPr>
        <w:pStyle w:val="a7"/>
        <w:numPr>
          <w:ilvl w:val="0"/>
          <w:numId w:val="2"/>
        </w:numPr>
        <w:spacing w:after="0"/>
        <w:jc w:val="both"/>
      </w:pPr>
      <w:r>
        <w:t xml:space="preserve">грунтовых </w:t>
      </w:r>
      <w:r w:rsidR="003E246B">
        <w:t xml:space="preserve">вод </w:t>
      </w:r>
      <w:r>
        <w:t xml:space="preserve">типа </w:t>
      </w:r>
      <w:r w:rsidR="003E246B" w:rsidRPr="003E246B">
        <w:t xml:space="preserve">«верховодка» </w:t>
      </w:r>
      <w:r>
        <w:t xml:space="preserve">(выше </w:t>
      </w:r>
      <w:r w:rsidRPr="00544CBE">
        <w:t>проектного уровня грунтовых вод</w:t>
      </w:r>
      <w:r>
        <w:t>)</w:t>
      </w:r>
      <w:r w:rsidR="003E246B">
        <w:t>;</w:t>
      </w:r>
    </w:p>
    <w:p w14:paraId="1822E85D" w14:textId="74F5FFC1" w:rsidR="00544CBE" w:rsidRDefault="00544CBE" w:rsidP="003E246B">
      <w:pPr>
        <w:pStyle w:val="a7"/>
        <w:numPr>
          <w:ilvl w:val="0"/>
          <w:numId w:val="2"/>
        </w:numPr>
        <w:spacing w:after="0"/>
        <w:jc w:val="both"/>
      </w:pPr>
      <w:r>
        <w:t>дождевых вод</w:t>
      </w:r>
      <w:r w:rsidR="003E246B">
        <w:t>;</w:t>
      </w:r>
    </w:p>
    <w:p w14:paraId="1695C450" w14:textId="77D533C0" w:rsidR="003E246B" w:rsidRDefault="003E246B" w:rsidP="0054665F">
      <w:pPr>
        <w:pStyle w:val="a7"/>
        <w:numPr>
          <w:ilvl w:val="0"/>
          <w:numId w:val="2"/>
        </w:numPr>
        <w:spacing w:after="0"/>
        <w:jc w:val="both"/>
      </w:pPr>
      <w:r>
        <w:t>котлованах более 30 м2 (все основные объекты, строящиеся бюджетами: жильё, объекты образования, культуры и др.)</w:t>
      </w:r>
      <w:r w:rsidR="00B65E75">
        <w:t xml:space="preserve"> и </w:t>
      </w:r>
      <w:r>
        <w:t>др.</w:t>
      </w:r>
    </w:p>
    <w:p w14:paraId="0DA77D32" w14:textId="0B4D49D8" w:rsidR="00C45582" w:rsidRPr="00C45582" w:rsidRDefault="003E246B" w:rsidP="00BA2338">
      <w:pPr>
        <w:spacing w:after="0"/>
        <w:jc w:val="both"/>
      </w:pPr>
      <w:r>
        <w:t>применение расценки на водоотлив невозможно.</w:t>
      </w:r>
      <w:r w:rsidR="00BA2338">
        <w:t xml:space="preserve"> </w:t>
      </w:r>
      <w:r>
        <w:t xml:space="preserve">Необходимо проводить сметный расчёт затрат на водоотлив. </w:t>
      </w:r>
      <w:r w:rsidR="00C45582" w:rsidRPr="00C45582">
        <w:t xml:space="preserve">Расчёт несложный. Однако отсутствие </w:t>
      </w:r>
      <w:r w:rsidR="00B65E75">
        <w:t xml:space="preserve">публичных рекомендаций, </w:t>
      </w:r>
      <w:r w:rsidR="00C45582" w:rsidRPr="00C45582">
        <w:t xml:space="preserve">методик расчёта от Минстроя, </w:t>
      </w:r>
      <w:proofErr w:type="spellStart"/>
      <w:r w:rsidR="00C45582" w:rsidRPr="00C45582">
        <w:t>ГГЭ</w:t>
      </w:r>
      <w:proofErr w:type="spellEnd"/>
      <w:r w:rsidR="00C45582" w:rsidRPr="00C45582">
        <w:t xml:space="preserve"> затрудняет применение таких расчётов при государственной экспертизе. Из-за этого сметный расчёт затрат на водоотлив часто оказывается неприменимым или даже запрещённым.</w:t>
      </w:r>
    </w:p>
    <w:p w14:paraId="46273939" w14:textId="1E484612" w:rsidR="00544CBE" w:rsidRDefault="00C45582" w:rsidP="00C45582">
      <w:pPr>
        <w:spacing w:after="0"/>
        <w:jc w:val="center"/>
      </w:pPr>
      <w:r>
        <w:t>Пример сметного расчёта затрат на водоотлив.</w:t>
      </w:r>
    </w:p>
    <w:p w14:paraId="1F3AB2B3" w14:textId="64372001" w:rsidR="00C45582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Водоотлив дождевой воды, </w:t>
      </w:r>
      <w:r w:rsidRPr="00A62BBF">
        <w:rPr>
          <w:rFonts w:eastAsia="Calibri"/>
          <w:sz w:val="24"/>
          <w:szCs w:val="24"/>
        </w:rPr>
        <w:t>грунтовых вод</w:t>
      </w:r>
      <w:r>
        <w:rPr>
          <w:rFonts w:eastAsia="Calibri"/>
          <w:sz w:val="24"/>
          <w:szCs w:val="24"/>
        </w:rPr>
        <w:t xml:space="preserve"> необходим. Водоотлив подтверждается проектной и изыскательской документацией: </w:t>
      </w:r>
      <w:proofErr w:type="spellStart"/>
      <w:r w:rsidRPr="00856275">
        <w:rPr>
          <w:rFonts w:eastAsia="Calibri"/>
          <w:sz w:val="24"/>
          <w:szCs w:val="24"/>
        </w:rPr>
        <w:t>ПОС.ПЗ</w:t>
      </w:r>
      <w:proofErr w:type="spellEnd"/>
      <w:r w:rsidRPr="00856275">
        <w:rPr>
          <w:rFonts w:eastAsia="Calibri"/>
          <w:sz w:val="24"/>
          <w:szCs w:val="24"/>
        </w:rPr>
        <w:t xml:space="preserve"> л. 16, 24</w:t>
      </w:r>
      <w:r>
        <w:rPr>
          <w:rFonts w:eastAsia="Calibri"/>
          <w:sz w:val="24"/>
          <w:szCs w:val="24"/>
        </w:rPr>
        <w:t>, 59;</w:t>
      </w:r>
      <w:r w:rsidRPr="00856275">
        <w:rPr>
          <w:rFonts w:eastAsia="Calibri"/>
          <w:sz w:val="24"/>
          <w:szCs w:val="24"/>
        </w:rPr>
        <w:t xml:space="preserve"> </w:t>
      </w:r>
      <w:proofErr w:type="spellStart"/>
      <w:r w:rsidRPr="00856275">
        <w:rPr>
          <w:rFonts w:eastAsia="Calibri"/>
          <w:sz w:val="24"/>
          <w:szCs w:val="24"/>
        </w:rPr>
        <w:t>ИГИ</w:t>
      </w:r>
      <w:proofErr w:type="spellEnd"/>
      <w:r w:rsidRPr="00856275">
        <w:rPr>
          <w:rFonts w:eastAsia="Calibri"/>
          <w:sz w:val="24"/>
          <w:szCs w:val="24"/>
        </w:rPr>
        <w:t xml:space="preserve"> л. 8</w:t>
      </w:r>
      <w:r>
        <w:rPr>
          <w:rFonts w:eastAsia="Calibri"/>
          <w:sz w:val="24"/>
          <w:szCs w:val="24"/>
        </w:rPr>
        <w:t xml:space="preserve">. </w:t>
      </w:r>
    </w:p>
    <w:p w14:paraId="29E6487B" w14:textId="41B6C375" w:rsidR="00C45582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Водоотливное средство по ПОС л. 60 – насосы Гном 10-10 производительностью </w:t>
      </w:r>
      <w:r w:rsidRPr="00F60200">
        <w:rPr>
          <w:rFonts w:eastAsia="Calibri"/>
          <w:sz w:val="24"/>
          <w:szCs w:val="24"/>
        </w:rPr>
        <w:t>Q=10 м3/ч</w:t>
      </w:r>
      <w:r>
        <w:rPr>
          <w:rFonts w:eastAsia="Calibri"/>
          <w:sz w:val="24"/>
          <w:szCs w:val="24"/>
        </w:rPr>
        <w:t xml:space="preserve">, с напором </w:t>
      </w:r>
      <w:r w:rsidRPr="00F60200">
        <w:rPr>
          <w:rFonts w:eastAsia="Calibri"/>
          <w:sz w:val="24"/>
          <w:szCs w:val="24"/>
        </w:rPr>
        <w:t>H=10 м</w:t>
      </w:r>
      <w:r w:rsidR="00B65E75">
        <w:rPr>
          <w:rFonts w:eastAsia="Calibri"/>
          <w:sz w:val="24"/>
          <w:szCs w:val="24"/>
        </w:rPr>
        <w:t>, количество насосов – 3 шт.</w:t>
      </w:r>
    </w:p>
    <w:p w14:paraId="02776D28" w14:textId="1C0B35C9" w:rsidR="00C45582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22A3D">
        <w:rPr>
          <w:rFonts w:eastAsia="Calibri"/>
          <w:sz w:val="24"/>
          <w:szCs w:val="24"/>
        </w:rPr>
        <w:t>огласно данным ПОС</w:t>
      </w:r>
      <w:r>
        <w:rPr>
          <w:rFonts w:eastAsia="Calibri"/>
          <w:sz w:val="24"/>
          <w:szCs w:val="24"/>
        </w:rPr>
        <w:t xml:space="preserve"> л. 59</w:t>
      </w:r>
      <w:r w:rsidRPr="00A22A3D">
        <w:rPr>
          <w:rFonts w:eastAsia="Calibri"/>
          <w:sz w:val="24"/>
          <w:szCs w:val="24"/>
        </w:rPr>
        <w:t xml:space="preserve">, </w:t>
      </w:r>
      <w:r w:rsidRPr="00F60200">
        <w:rPr>
          <w:rFonts w:eastAsia="Calibri"/>
          <w:sz w:val="24"/>
          <w:szCs w:val="24"/>
        </w:rPr>
        <w:t>сил</w:t>
      </w:r>
      <w:r>
        <w:rPr>
          <w:rFonts w:eastAsia="Calibri"/>
          <w:sz w:val="24"/>
          <w:szCs w:val="24"/>
        </w:rPr>
        <w:t>а</w:t>
      </w:r>
      <w:r w:rsidRPr="00F60200">
        <w:rPr>
          <w:rFonts w:eastAsia="Calibri"/>
          <w:sz w:val="24"/>
          <w:szCs w:val="24"/>
        </w:rPr>
        <w:t xml:space="preserve"> притока воды</w:t>
      </w:r>
      <w:r>
        <w:rPr>
          <w:rFonts w:eastAsia="Calibri"/>
          <w:sz w:val="24"/>
          <w:szCs w:val="24"/>
        </w:rPr>
        <w:t xml:space="preserve"> (</w:t>
      </w:r>
      <w:r w:rsidRPr="00A22A3D">
        <w:rPr>
          <w:rFonts w:eastAsia="Calibri"/>
          <w:sz w:val="24"/>
          <w:szCs w:val="24"/>
        </w:rPr>
        <w:t>объём водоотведения поверхностных сточных вод</w:t>
      </w:r>
      <w:r>
        <w:rPr>
          <w:rFonts w:eastAsia="Calibri"/>
          <w:sz w:val="24"/>
          <w:szCs w:val="24"/>
        </w:rPr>
        <w:t>) составляет 1</w:t>
      </w:r>
      <w:r w:rsidRPr="00A22A3D">
        <w:rPr>
          <w:rFonts w:eastAsia="Calibri"/>
          <w:sz w:val="24"/>
          <w:szCs w:val="24"/>
        </w:rPr>
        <w:t>00,32 м3/</w:t>
      </w:r>
      <w:proofErr w:type="spellStart"/>
      <w:r w:rsidRPr="00A22A3D">
        <w:rPr>
          <w:rFonts w:eastAsia="Calibri"/>
          <w:sz w:val="24"/>
          <w:szCs w:val="24"/>
        </w:rPr>
        <w:t>сут</w:t>
      </w:r>
      <w:proofErr w:type="spellEnd"/>
      <w:r w:rsidRPr="00A22A3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П</w:t>
      </w:r>
      <w:r w:rsidRPr="00DE41CA">
        <w:rPr>
          <w:rFonts w:eastAsia="Calibri"/>
          <w:sz w:val="24"/>
          <w:szCs w:val="24"/>
        </w:rPr>
        <w:t>родолжительност</w:t>
      </w:r>
      <w:r>
        <w:rPr>
          <w:rFonts w:eastAsia="Calibri"/>
          <w:sz w:val="24"/>
          <w:szCs w:val="24"/>
        </w:rPr>
        <w:t>ь</w:t>
      </w:r>
      <w:r w:rsidRPr="00DE41CA">
        <w:rPr>
          <w:rFonts w:eastAsia="Calibri"/>
          <w:sz w:val="24"/>
          <w:szCs w:val="24"/>
        </w:rPr>
        <w:t xml:space="preserve"> производства водоотливных </w:t>
      </w:r>
      <w:r w:rsidRPr="00DE41CA">
        <w:rPr>
          <w:rFonts w:eastAsia="Calibri"/>
          <w:sz w:val="24"/>
          <w:szCs w:val="24"/>
        </w:rPr>
        <w:lastRenderedPageBreak/>
        <w:t>работ</w:t>
      </w:r>
      <w:r>
        <w:rPr>
          <w:rFonts w:eastAsia="Calibri"/>
          <w:sz w:val="24"/>
          <w:szCs w:val="24"/>
        </w:rPr>
        <w:t xml:space="preserve"> определяется п</w:t>
      </w:r>
      <w:r w:rsidRPr="00A22A3D">
        <w:rPr>
          <w:rFonts w:eastAsia="Calibri"/>
          <w:sz w:val="24"/>
          <w:szCs w:val="24"/>
        </w:rPr>
        <w:t>родолжительность</w:t>
      </w:r>
      <w:r>
        <w:rPr>
          <w:rFonts w:eastAsia="Calibri"/>
          <w:sz w:val="24"/>
          <w:szCs w:val="24"/>
        </w:rPr>
        <w:t>ю</w:t>
      </w:r>
      <w:r w:rsidRPr="00A22A3D">
        <w:rPr>
          <w:rFonts w:eastAsia="Calibri"/>
          <w:sz w:val="24"/>
          <w:szCs w:val="24"/>
        </w:rPr>
        <w:t xml:space="preserve"> нулевого цикла</w:t>
      </w:r>
      <w:r>
        <w:rPr>
          <w:rFonts w:eastAsia="Calibri"/>
          <w:sz w:val="24"/>
          <w:szCs w:val="24"/>
        </w:rPr>
        <w:t xml:space="preserve"> </w:t>
      </w:r>
      <w:r w:rsidRPr="00A22A3D">
        <w:rPr>
          <w:rFonts w:eastAsia="Calibri"/>
          <w:sz w:val="24"/>
          <w:szCs w:val="24"/>
        </w:rPr>
        <w:t xml:space="preserve">– </w:t>
      </w:r>
      <w:r>
        <w:rPr>
          <w:rFonts w:eastAsia="Calibri"/>
          <w:sz w:val="24"/>
          <w:szCs w:val="24"/>
        </w:rPr>
        <w:t>2</w:t>
      </w:r>
      <w:r w:rsidRPr="00A22A3D">
        <w:rPr>
          <w:rFonts w:eastAsia="Calibri"/>
          <w:sz w:val="24"/>
          <w:szCs w:val="24"/>
        </w:rPr>
        <w:t xml:space="preserve"> квартал</w:t>
      </w:r>
      <w:r>
        <w:rPr>
          <w:rFonts w:eastAsia="Calibri"/>
          <w:sz w:val="24"/>
          <w:szCs w:val="24"/>
        </w:rPr>
        <w:t>а</w:t>
      </w:r>
      <w:r w:rsidRPr="00A22A3D">
        <w:rPr>
          <w:rFonts w:eastAsia="Calibri"/>
          <w:sz w:val="24"/>
          <w:szCs w:val="24"/>
        </w:rPr>
        <w:t xml:space="preserve"> = </w:t>
      </w:r>
      <w:r>
        <w:rPr>
          <w:rFonts w:eastAsia="Calibri"/>
          <w:sz w:val="24"/>
          <w:szCs w:val="24"/>
        </w:rPr>
        <w:t>180</w:t>
      </w:r>
      <w:r w:rsidRPr="00A22A3D">
        <w:rPr>
          <w:rFonts w:eastAsia="Calibri"/>
          <w:sz w:val="24"/>
          <w:szCs w:val="24"/>
        </w:rPr>
        <w:t xml:space="preserve"> </w:t>
      </w:r>
      <w:proofErr w:type="spellStart"/>
      <w:r w:rsidRPr="00A22A3D">
        <w:rPr>
          <w:rFonts w:eastAsia="Calibri"/>
          <w:sz w:val="24"/>
          <w:szCs w:val="24"/>
        </w:rPr>
        <w:t>дн</w:t>
      </w:r>
      <w:proofErr w:type="spellEnd"/>
      <w:r w:rsidRPr="00A22A3D">
        <w:rPr>
          <w:rFonts w:eastAsia="Calibri"/>
          <w:sz w:val="24"/>
          <w:szCs w:val="24"/>
        </w:rPr>
        <w:t>. (по</w:t>
      </w:r>
      <w:r>
        <w:rPr>
          <w:rFonts w:eastAsia="Calibri"/>
          <w:sz w:val="24"/>
          <w:szCs w:val="24"/>
        </w:rPr>
        <w:t xml:space="preserve"> </w:t>
      </w:r>
      <w:r w:rsidRPr="00A22A3D">
        <w:rPr>
          <w:rFonts w:eastAsia="Calibri"/>
          <w:sz w:val="24"/>
          <w:szCs w:val="24"/>
        </w:rPr>
        <w:t>ПОС календарный график).</w:t>
      </w:r>
    </w:p>
    <w:p w14:paraId="3AA33C2C" w14:textId="77777777" w:rsidR="00C45582" w:rsidRPr="00A22A3D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 w:rsidRPr="00A22A3D">
        <w:rPr>
          <w:rFonts w:eastAsia="Calibri"/>
          <w:sz w:val="24"/>
          <w:szCs w:val="24"/>
        </w:rPr>
        <w:t xml:space="preserve">Объём водоотвода </w:t>
      </w:r>
      <w:r>
        <w:rPr>
          <w:rFonts w:eastAsia="Calibri"/>
          <w:sz w:val="24"/>
          <w:szCs w:val="24"/>
        </w:rPr>
        <w:t xml:space="preserve">составит </w:t>
      </w:r>
      <w:r w:rsidRPr="00A22A3D">
        <w:rPr>
          <w:rFonts w:eastAsia="Calibri"/>
          <w:sz w:val="24"/>
          <w:szCs w:val="24"/>
        </w:rPr>
        <w:t>100,32*</w:t>
      </w:r>
      <w:r>
        <w:rPr>
          <w:rFonts w:eastAsia="Calibri"/>
          <w:sz w:val="24"/>
          <w:szCs w:val="24"/>
        </w:rPr>
        <w:t>180</w:t>
      </w:r>
      <w:r w:rsidRPr="00A22A3D">
        <w:rPr>
          <w:rFonts w:eastAsia="Calibri"/>
          <w:sz w:val="24"/>
          <w:szCs w:val="24"/>
        </w:rPr>
        <w:t>=1805</w:t>
      </w:r>
      <w:r>
        <w:rPr>
          <w:rFonts w:eastAsia="Calibri"/>
          <w:sz w:val="24"/>
          <w:szCs w:val="24"/>
        </w:rPr>
        <w:t>8</w:t>
      </w:r>
      <w:r w:rsidRPr="00A22A3D">
        <w:rPr>
          <w:rFonts w:eastAsia="Calibri"/>
          <w:sz w:val="24"/>
          <w:szCs w:val="24"/>
        </w:rPr>
        <w:t xml:space="preserve"> м3.</w:t>
      </w:r>
      <w:r>
        <w:rPr>
          <w:rFonts w:eastAsia="Calibri"/>
          <w:sz w:val="24"/>
          <w:szCs w:val="24"/>
        </w:rPr>
        <w:t xml:space="preserve"> </w:t>
      </w:r>
    </w:p>
    <w:p w14:paraId="242D9D95" w14:textId="77777777" w:rsidR="00C45582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производительности насоса Гном 10-10 </w:t>
      </w:r>
      <w:r w:rsidRPr="00A22A3D">
        <w:rPr>
          <w:rFonts w:eastAsia="Calibri"/>
          <w:sz w:val="24"/>
          <w:szCs w:val="24"/>
        </w:rPr>
        <w:t>Q=10 м3/ч</w:t>
      </w:r>
      <w:r>
        <w:rPr>
          <w:rFonts w:eastAsia="Calibri"/>
          <w:sz w:val="24"/>
          <w:szCs w:val="24"/>
        </w:rPr>
        <w:t>, время эксплуатации насосов составит 10058/10=</w:t>
      </w:r>
      <w:r w:rsidRPr="00A22A3D">
        <w:rPr>
          <w:rFonts w:eastAsia="Calibri"/>
          <w:sz w:val="24"/>
          <w:szCs w:val="24"/>
        </w:rPr>
        <w:t>1005,8</w:t>
      </w:r>
      <w:r>
        <w:rPr>
          <w:rFonts w:eastAsia="Calibri"/>
          <w:sz w:val="24"/>
          <w:szCs w:val="24"/>
        </w:rPr>
        <w:t xml:space="preserve"> маш.-ч. </w:t>
      </w:r>
    </w:p>
    <w:p w14:paraId="23483702" w14:textId="278CA3F4" w:rsidR="00C45582" w:rsidRDefault="00C45582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работе трёх насосов необходим 1 (один) резервный насос – </w:t>
      </w:r>
      <w:r w:rsidRPr="00DE41CA">
        <w:rPr>
          <w:rFonts w:eastAsia="Calibri"/>
          <w:sz w:val="24"/>
          <w:szCs w:val="24"/>
        </w:rPr>
        <w:t>335,2666667</w:t>
      </w:r>
      <w:r>
        <w:rPr>
          <w:rFonts w:eastAsia="Calibri"/>
          <w:sz w:val="24"/>
          <w:szCs w:val="24"/>
        </w:rPr>
        <w:t xml:space="preserve"> маш.-ч (</w:t>
      </w:r>
      <w:r w:rsidRPr="00A22A3D">
        <w:rPr>
          <w:rFonts w:eastAsia="Calibri"/>
          <w:sz w:val="24"/>
          <w:szCs w:val="24"/>
        </w:rPr>
        <w:t>1005,8</w:t>
      </w:r>
      <w:r>
        <w:rPr>
          <w:rFonts w:eastAsia="Calibri"/>
          <w:sz w:val="24"/>
          <w:szCs w:val="24"/>
        </w:rPr>
        <w:t xml:space="preserve">/3, где 3 – кол-во насосов по ПОС л. 60). </w:t>
      </w:r>
    </w:p>
    <w:p w14:paraId="76A0B7AB" w14:textId="2C401719" w:rsidR="00C45582" w:rsidRDefault="00C45582" w:rsidP="00C45582">
      <w:pPr>
        <w:spacing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Для эксплуатации насосов, обслуживания рабочего процесс водоотлива необходим рабочий. Время работы рабочего 2 разряда составит </w:t>
      </w:r>
      <w:r w:rsidRPr="00F60200">
        <w:rPr>
          <w:rFonts w:eastAsia="Calibri"/>
          <w:sz w:val="24"/>
          <w:szCs w:val="24"/>
        </w:rPr>
        <w:t>335,2666667</w:t>
      </w:r>
      <w:r>
        <w:rPr>
          <w:rFonts w:eastAsia="Calibri"/>
          <w:sz w:val="24"/>
          <w:szCs w:val="24"/>
        </w:rPr>
        <w:t xml:space="preserve"> </w:t>
      </w:r>
      <w:r w:rsidRPr="00D32F3E">
        <w:rPr>
          <w:rFonts w:eastAsia="Calibri"/>
          <w:sz w:val="24"/>
          <w:szCs w:val="24"/>
        </w:rPr>
        <w:t>чел.-ч</w:t>
      </w:r>
      <w:r>
        <w:rPr>
          <w:rFonts w:eastAsia="Calibri"/>
          <w:sz w:val="24"/>
          <w:szCs w:val="24"/>
        </w:rPr>
        <w:t xml:space="preserve">. (1005,8/3, где 3 – кол-во насосов по ПОС л. 60). На затраты рабочего начисляются накладные расходы и сметная прибыли по нормам приказов Минстроя РФ № </w:t>
      </w:r>
      <w:r w:rsidRPr="00D32F3E">
        <w:rPr>
          <w:rFonts w:eastAsia="Calibri"/>
          <w:sz w:val="24"/>
          <w:szCs w:val="24"/>
        </w:rPr>
        <w:t>812</w:t>
      </w:r>
      <w:r>
        <w:rPr>
          <w:rFonts w:eastAsia="Calibri"/>
          <w:sz w:val="24"/>
          <w:szCs w:val="24"/>
        </w:rPr>
        <w:t>/</w:t>
      </w:r>
      <w:proofErr w:type="spellStart"/>
      <w:r>
        <w:rPr>
          <w:rFonts w:eastAsia="Calibri"/>
          <w:sz w:val="24"/>
          <w:szCs w:val="24"/>
        </w:rPr>
        <w:t>пр</w:t>
      </w:r>
      <w:proofErr w:type="spellEnd"/>
      <w:r>
        <w:rPr>
          <w:rFonts w:eastAsia="Calibri"/>
          <w:sz w:val="24"/>
          <w:szCs w:val="24"/>
        </w:rPr>
        <w:t xml:space="preserve"> п. </w:t>
      </w:r>
      <w:r w:rsidRPr="00D32F3E">
        <w:rPr>
          <w:rFonts w:eastAsia="Calibri"/>
          <w:sz w:val="24"/>
          <w:szCs w:val="24"/>
        </w:rPr>
        <w:t>1.4</w:t>
      </w:r>
      <w:r>
        <w:rPr>
          <w:rFonts w:eastAsia="Calibri"/>
          <w:sz w:val="24"/>
          <w:szCs w:val="24"/>
        </w:rPr>
        <w:t xml:space="preserve"> и № 774/</w:t>
      </w:r>
      <w:proofErr w:type="spellStart"/>
      <w:r>
        <w:rPr>
          <w:rFonts w:eastAsia="Calibri"/>
          <w:sz w:val="24"/>
          <w:szCs w:val="24"/>
        </w:rPr>
        <w:t>пр</w:t>
      </w:r>
      <w:proofErr w:type="spellEnd"/>
      <w:r>
        <w:rPr>
          <w:rFonts w:eastAsia="Calibri"/>
          <w:sz w:val="24"/>
          <w:szCs w:val="24"/>
        </w:rPr>
        <w:t xml:space="preserve"> п. 1.4 – 89% и 41% соответственно. </w:t>
      </w:r>
    </w:p>
    <w:p w14:paraId="095E0238" w14:textId="77777777" w:rsidR="00C45582" w:rsidRDefault="00C45582" w:rsidP="00544CBE">
      <w:pPr>
        <w:spacing w:after="0"/>
        <w:jc w:val="both"/>
      </w:pPr>
    </w:p>
    <w:p w14:paraId="3F9B34EC" w14:textId="77777777" w:rsidR="003B6CF8" w:rsidRDefault="00BA2338" w:rsidP="00544CBE">
      <w:pPr>
        <w:spacing w:after="0"/>
        <w:jc w:val="both"/>
      </w:pPr>
      <w:r w:rsidRPr="003B6CF8">
        <w:rPr>
          <w:b/>
          <w:bCs/>
        </w:rPr>
        <w:t>Предлагается</w:t>
      </w:r>
      <w:r>
        <w:t xml:space="preserve">: </w:t>
      </w:r>
    </w:p>
    <w:p w14:paraId="184D4A7F" w14:textId="1BB8FD14" w:rsidR="003B6CF8" w:rsidRDefault="003B6CF8" w:rsidP="003B6CF8">
      <w:pPr>
        <w:spacing w:after="0"/>
        <w:jc w:val="both"/>
      </w:pPr>
      <w:r>
        <w:t>Для случая отсутствия финансирования</w:t>
      </w:r>
      <w:r w:rsidR="00B65E75">
        <w:t>:</w:t>
      </w:r>
    </w:p>
    <w:p w14:paraId="2C3E052E" w14:textId="674AF0AF" w:rsidR="003B6CF8" w:rsidRDefault="003B6CF8" w:rsidP="003B6CF8">
      <w:pPr>
        <w:pStyle w:val="a7"/>
        <w:numPr>
          <w:ilvl w:val="0"/>
          <w:numId w:val="4"/>
        </w:numPr>
        <w:spacing w:after="0"/>
        <w:jc w:val="both"/>
      </w:pPr>
      <w:r>
        <w:t xml:space="preserve">Разработать </w:t>
      </w:r>
      <w:r w:rsidR="00BA2338">
        <w:t>методику (с примером расчёта) по выполнению сметного расчёта затрат на водоотлив</w:t>
      </w:r>
      <w:r>
        <w:t>.</w:t>
      </w:r>
    </w:p>
    <w:p w14:paraId="64A5D5D4" w14:textId="5EEEB295" w:rsidR="003B6CF8" w:rsidRDefault="003B6CF8" w:rsidP="003B6CF8">
      <w:pPr>
        <w:spacing w:after="0"/>
        <w:jc w:val="both"/>
      </w:pPr>
      <w:r>
        <w:t>Для случая наличия финансирования</w:t>
      </w:r>
      <w:r w:rsidR="00B65E75">
        <w:t>:</w:t>
      </w:r>
    </w:p>
    <w:p w14:paraId="4EF0F01B" w14:textId="507C7AC6" w:rsidR="00C45582" w:rsidRDefault="003B6CF8" w:rsidP="003B6CF8">
      <w:pPr>
        <w:pStyle w:val="a7"/>
        <w:numPr>
          <w:ilvl w:val="0"/>
          <w:numId w:val="4"/>
        </w:numPr>
        <w:spacing w:after="0"/>
        <w:jc w:val="both"/>
      </w:pPr>
      <w:r>
        <w:t xml:space="preserve">Разработать </w:t>
      </w:r>
      <w:r w:rsidR="00BA2338">
        <w:t>дополнительные расценки на водоотлив</w:t>
      </w:r>
      <w:r>
        <w:t>, положения применения расценок.</w:t>
      </w:r>
    </w:p>
    <w:p w14:paraId="557D6075" w14:textId="77777777" w:rsidR="00C45582" w:rsidRDefault="00C45582" w:rsidP="00544CBE">
      <w:pPr>
        <w:spacing w:after="0"/>
        <w:jc w:val="both"/>
      </w:pPr>
    </w:p>
    <w:p w14:paraId="638A1DF2" w14:textId="1871596D" w:rsidR="005315BC" w:rsidRDefault="006F5E18" w:rsidP="00544CBE">
      <w:pPr>
        <w:spacing w:after="0"/>
        <w:jc w:val="both"/>
      </w:pPr>
      <w:r>
        <w:rPr>
          <w:b/>
          <w:bCs/>
        </w:rPr>
        <w:t xml:space="preserve">Расходы </w:t>
      </w:r>
      <w:r w:rsidRPr="006F5E18">
        <w:t xml:space="preserve">на реализацию инициативы на корректировку </w:t>
      </w:r>
      <w:proofErr w:type="spellStart"/>
      <w:r w:rsidRPr="006F5E18">
        <w:t>ФСНБ</w:t>
      </w:r>
      <w:proofErr w:type="spellEnd"/>
      <w:r w:rsidRPr="006F5E18">
        <w:t xml:space="preserve">: </w:t>
      </w:r>
      <w:r>
        <w:t>не определялись (</w:t>
      </w:r>
      <w:r w:rsidR="00B65E75">
        <w:t xml:space="preserve">для варианта № 2, </w:t>
      </w:r>
      <w:r>
        <w:t>ориентировочно 1 000 000 рублей, без НДС)</w:t>
      </w:r>
      <w:r w:rsidR="00B65E75">
        <w:t>.</w:t>
      </w:r>
    </w:p>
    <w:p w14:paraId="16716D0D" w14:textId="15F93BC5" w:rsidR="00B65E75" w:rsidRPr="00B65E75" w:rsidRDefault="00B65E75" w:rsidP="00544CBE">
      <w:pPr>
        <w:spacing w:after="0"/>
        <w:jc w:val="both"/>
        <w:rPr>
          <w:b/>
          <w:bCs/>
        </w:rPr>
      </w:pPr>
      <w:r w:rsidRPr="00B65E75">
        <w:rPr>
          <w:b/>
          <w:bCs/>
        </w:rPr>
        <w:t>Результаты:</w:t>
      </w:r>
    </w:p>
    <w:p w14:paraId="12FA9101" w14:textId="77777777" w:rsidR="006F5E18" w:rsidRPr="006F5E18" w:rsidRDefault="006F5E18" w:rsidP="006F5E18">
      <w:pPr>
        <w:pStyle w:val="a7"/>
        <w:numPr>
          <w:ilvl w:val="0"/>
          <w:numId w:val="2"/>
        </w:numPr>
        <w:spacing w:after="0"/>
        <w:jc w:val="both"/>
      </w:pPr>
      <w:r w:rsidRPr="006F5E18">
        <w:t xml:space="preserve">повышение достоверности сметной стоимости; </w:t>
      </w:r>
    </w:p>
    <w:p w14:paraId="6110A015" w14:textId="77777777" w:rsidR="003B6CF8" w:rsidRDefault="003B6CF8" w:rsidP="003B6CF8">
      <w:pPr>
        <w:pStyle w:val="a7"/>
        <w:numPr>
          <w:ilvl w:val="0"/>
          <w:numId w:val="2"/>
        </w:numPr>
        <w:spacing w:after="0"/>
        <w:jc w:val="both"/>
      </w:pPr>
      <w:r w:rsidRPr="006F5E18">
        <w:t>снижение нагрузки на сотрудников гос. экспертизы, застройщиков</w:t>
      </w:r>
      <w:r>
        <w:t>.</w:t>
      </w:r>
    </w:p>
    <w:p w14:paraId="1F1EE39E" w14:textId="77777777" w:rsidR="00B65E75" w:rsidRPr="00B65E75" w:rsidRDefault="00B65E75" w:rsidP="00B65E75">
      <w:pPr>
        <w:spacing w:after="0"/>
        <w:jc w:val="both"/>
        <w:rPr>
          <w:b/>
          <w:bCs/>
        </w:rPr>
      </w:pPr>
      <w:r w:rsidRPr="00B65E75">
        <w:rPr>
          <w:b/>
          <w:bCs/>
        </w:rPr>
        <w:t xml:space="preserve">Риски: </w:t>
      </w:r>
    </w:p>
    <w:p w14:paraId="60AFB2A0" w14:textId="55DA3A71" w:rsidR="005315BC" w:rsidRPr="006F5E18" w:rsidRDefault="006F5E18" w:rsidP="006F5E18">
      <w:pPr>
        <w:pStyle w:val="a7"/>
        <w:numPr>
          <w:ilvl w:val="0"/>
          <w:numId w:val="2"/>
        </w:numPr>
        <w:spacing w:after="0"/>
        <w:jc w:val="both"/>
      </w:pPr>
      <w:r w:rsidRPr="006F5E18">
        <w:t>повышение расходов бюджета;</w:t>
      </w:r>
    </w:p>
    <w:p w14:paraId="1C2458D3" w14:textId="0F67E831" w:rsidR="00BA2338" w:rsidRDefault="005315BC" w:rsidP="00544CBE">
      <w:pPr>
        <w:spacing w:after="0"/>
        <w:jc w:val="both"/>
      </w:pPr>
      <w:r w:rsidRPr="005315BC">
        <w:rPr>
          <w:b/>
          <w:bCs/>
        </w:rPr>
        <w:t>Сроки</w:t>
      </w:r>
      <w:r>
        <w:t xml:space="preserve"> </w:t>
      </w:r>
      <w:r w:rsidR="00BA2338">
        <w:t>реализации мероприятия:</w:t>
      </w:r>
    </w:p>
    <w:p w14:paraId="24823E08" w14:textId="348978D7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поиск инвестора на </w:t>
      </w:r>
      <w:r w:rsidR="00F17748">
        <w:t>финансирование</w:t>
      </w:r>
      <w:r>
        <w:t xml:space="preserve"> реализации данной инициативы – 1 год;</w:t>
      </w:r>
    </w:p>
    <w:p w14:paraId="6CDFAABF" w14:textId="515CEBB7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внесение инициативы в План </w:t>
      </w:r>
      <w:r w:rsidRPr="00BA2338">
        <w:t xml:space="preserve">утверждения (актуализации) сметных нормативов </w:t>
      </w:r>
      <w:r>
        <w:t>– 1 год;</w:t>
      </w:r>
    </w:p>
    <w:p w14:paraId="16FCC715" w14:textId="39C7DD7E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>Разработка сметных расценок</w:t>
      </w:r>
      <w:r w:rsidR="00B65E75">
        <w:t xml:space="preserve">, по методике </w:t>
      </w:r>
      <w:r w:rsidR="00B65E75" w:rsidRPr="00B65E75">
        <w:t>приказ</w:t>
      </w:r>
      <w:r w:rsidR="00B65E75">
        <w:t xml:space="preserve">а Минстроя </w:t>
      </w:r>
      <w:r w:rsidR="00B65E75" w:rsidRPr="00B65E75">
        <w:t xml:space="preserve">от 18 июля 2022 г. </w:t>
      </w:r>
      <w:r w:rsidR="00B65E75">
        <w:t>№</w:t>
      </w:r>
      <w:r w:rsidR="00B65E75" w:rsidRPr="00B65E75">
        <w:t xml:space="preserve"> 577/</w:t>
      </w:r>
      <w:proofErr w:type="spellStart"/>
      <w:r w:rsidR="00B65E75" w:rsidRPr="00B65E75">
        <w:t>пр</w:t>
      </w:r>
      <w:proofErr w:type="spellEnd"/>
      <w:r>
        <w:t xml:space="preserve"> – 1 год;</w:t>
      </w:r>
    </w:p>
    <w:p w14:paraId="715F146B" w14:textId="793D49A6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>Рассмотрение разработанн</w:t>
      </w:r>
      <w:r w:rsidR="00932AB9">
        <w:t>ых</w:t>
      </w:r>
      <w:r>
        <w:t xml:space="preserve"> сметн</w:t>
      </w:r>
      <w:r w:rsidR="00932AB9">
        <w:t>ых</w:t>
      </w:r>
      <w:r>
        <w:t xml:space="preserve"> расцен</w:t>
      </w:r>
      <w:r w:rsidR="00932AB9">
        <w:t>ок</w:t>
      </w:r>
      <w:r>
        <w:t xml:space="preserve"> – 1 год;</w:t>
      </w:r>
    </w:p>
    <w:p w14:paraId="5A0F6A98" w14:textId="77777777" w:rsidR="00932AB9" w:rsidRDefault="00932AB9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Корректировка по замечаниям </w:t>
      </w:r>
      <w:r>
        <w:t>разработанных сметных расценок – 1 год</w:t>
      </w:r>
      <w:r>
        <w:t xml:space="preserve">. </w:t>
      </w:r>
    </w:p>
    <w:p w14:paraId="55E9C983" w14:textId="500B1032" w:rsidR="00932AB9" w:rsidRDefault="00932AB9" w:rsidP="00932AB9">
      <w:pPr>
        <w:spacing w:after="0"/>
        <w:ind w:left="360" w:firstLine="348"/>
        <w:jc w:val="both"/>
      </w:pPr>
      <w:r>
        <w:t>Повторное рассмотрение по п. 4 и корректировка по п. 5</w:t>
      </w:r>
    </w:p>
    <w:p w14:paraId="4421C5FF" w14:textId="7F7EEE73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>Утверждение Минстрое</w:t>
      </w:r>
      <w:r w:rsidR="006F5E18">
        <w:t>м</w:t>
      </w:r>
      <w:r>
        <w:t xml:space="preserve"> нов</w:t>
      </w:r>
      <w:r w:rsidR="006F5E18">
        <w:t>ых</w:t>
      </w:r>
      <w:r>
        <w:t xml:space="preserve"> расцен</w:t>
      </w:r>
      <w:r w:rsidR="006F5E18">
        <w:t>ок, методик</w:t>
      </w:r>
      <w:r>
        <w:t xml:space="preserve"> – 1 год</w:t>
      </w:r>
      <w:r w:rsidR="00932AB9">
        <w:t>.</w:t>
      </w:r>
    </w:p>
    <w:p w14:paraId="1711F236" w14:textId="1D65DCF9" w:rsidR="00BA2338" w:rsidRDefault="006F5E18" w:rsidP="00544CBE">
      <w:pPr>
        <w:spacing w:after="0"/>
        <w:jc w:val="both"/>
      </w:pPr>
      <w:r>
        <w:t xml:space="preserve">Общий срок – до </w:t>
      </w:r>
      <w:r w:rsidR="00932AB9">
        <w:t>6</w:t>
      </w:r>
      <w:r>
        <w:t xml:space="preserve"> лет.</w:t>
      </w:r>
    </w:p>
    <w:p w14:paraId="45E5528C" w14:textId="77777777" w:rsidR="006F5E18" w:rsidRDefault="006F5E18" w:rsidP="00544CBE">
      <w:pPr>
        <w:spacing w:after="0"/>
        <w:jc w:val="both"/>
      </w:pPr>
    </w:p>
    <w:p w14:paraId="565643A8" w14:textId="08CA41D7" w:rsidR="006F5E18" w:rsidRDefault="003B6CF8" w:rsidP="00544CBE">
      <w:pPr>
        <w:spacing w:after="0"/>
        <w:jc w:val="both"/>
      </w:pPr>
      <w:r>
        <w:t>2025.07.20</w:t>
      </w:r>
    </w:p>
    <w:sectPr w:rsidR="006F5E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D6F"/>
    <w:multiLevelType w:val="hybridMultilevel"/>
    <w:tmpl w:val="6A105238"/>
    <w:lvl w:ilvl="0" w:tplc="C3E49B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A1B"/>
    <w:multiLevelType w:val="hybridMultilevel"/>
    <w:tmpl w:val="7E588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159E"/>
    <w:multiLevelType w:val="hybridMultilevel"/>
    <w:tmpl w:val="00146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E075A"/>
    <w:multiLevelType w:val="hybridMultilevel"/>
    <w:tmpl w:val="3C026FD2"/>
    <w:lvl w:ilvl="0" w:tplc="4A00330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6480831">
    <w:abstractNumId w:val="3"/>
  </w:num>
  <w:num w:numId="2" w16cid:durableId="54738916">
    <w:abstractNumId w:val="0"/>
  </w:num>
  <w:num w:numId="3" w16cid:durableId="552619736">
    <w:abstractNumId w:val="2"/>
  </w:num>
  <w:num w:numId="4" w16cid:durableId="10211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89"/>
    <w:rsid w:val="003B6CF8"/>
    <w:rsid w:val="003E246B"/>
    <w:rsid w:val="0044408F"/>
    <w:rsid w:val="004B185E"/>
    <w:rsid w:val="005315BC"/>
    <w:rsid w:val="00544CBE"/>
    <w:rsid w:val="006C0B77"/>
    <w:rsid w:val="006F5E18"/>
    <w:rsid w:val="00782D39"/>
    <w:rsid w:val="007D3450"/>
    <w:rsid w:val="008242FF"/>
    <w:rsid w:val="00870751"/>
    <w:rsid w:val="008D5242"/>
    <w:rsid w:val="00922C48"/>
    <w:rsid w:val="00932AB9"/>
    <w:rsid w:val="00AB7531"/>
    <w:rsid w:val="00B65E75"/>
    <w:rsid w:val="00B915B7"/>
    <w:rsid w:val="00BA2338"/>
    <w:rsid w:val="00BE0989"/>
    <w:rsid w:val="00C45582"/>
    <w:rsid w:val="00D74F0C"/>
    <w:rsid w:val="00E33C15"/>
    <w:rsid w:val="00EA59DF"/>
    <w:rsid w:val="00EE4070"/>
    <w:rsid w:val="00F12C76"/>
    <w:rsid w:val="00F177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5828"/>
  <w15:chartTrackingRefBased/>
  <w15:docId w15:val="{B3D3A408-D747-4868-B1C8-F1A0730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9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9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9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9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9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9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9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9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9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4C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4CBE"/>
    <w:rPr>
      <w:color w:val="605E5C"/>
      <w:shd w:val="clear" w:color="auto" w:fill="E1DFDD"/>
    </w:rPr>
  </w:style>
  <w:style w:type="paragraph" w:customStyle="1" w:styleId="ae">
    <w:name w:val="Обычный абзац"/>
    <w:basedOn w:val="a"/>
    <w:qFormat/>
    <w:rsid w:val="00544CBE"/>
    <w:pPr>
      <w:spacing w:after="0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2025-07-20T06:25:00Z</dcterms:created>
  <dcterms:modified xsi:type="dcterms:W3CDTF">2025-07-20T06:25:00Z</dcterms:modified>
</cp:coreProperties>
</file>