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4A" w:rsidRDefault="0078144A" w:rsidP="0078144A">
      <w:pPr>
        <w:rPr>
          <w:b/>
          <w:sz w:val="20"/>
        </w:rPr>
      </w:pPr>
    </w:p>
    <w:p w:rsidR="0078144A" w:rsidRDefault="0078144A" w:rsidP="0078144A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78144A" w:rsidRDefault="0078144A" w:rsidP="0078144A">
      <w:pPr>
        <w:rPr>
          <w:b/>
          <w:sz w:val="20"/>
        </w:rPr>
      </w:pPr>
      <w:r>
        <w:rPr>
          <w:b/>
          <w:sz w:val="20"/>
        </w:rPr>
        <w:t xml:space="preserve">Сборник:  </w:t>
      </w:r>
      <w:r>
        <w:rPr>
          <w:sz w:val="20"/>
        </w:rPr>
        <w:t>Тер-2001-11 Полы.</w:t>
      </w:r>
    </w:p>
    <w:p w:rsidR="0078144A" w:rsidRDefault="0078144A" w:rsidP="0078144A">
      <w:pPr>
        <w:rPr>
          <w:b/>
          <w:sz w:val="20"/>
        </w:rPr>
      </w:pPr>
      <w:r>
        <w:rPr>
          <w:b/>
          <w:sz w:val="20"/>
        </w:rPr>
        <w:t xml:space="preserve">Обоснование:  </w:t>
      </w:r>
      <w:r>
        <w:rPr>
          <w:sz w:val="20"/>
        </w:rPr>
        <w:t>ТЕР11-01-057-1</w:t>
      </w:r>
    </w:p>
    <w:p w:rsidR="0078144A" w:rsidRDefault="0078144A" w:rsidP="0078144A">
      <w:pPr>
        <w:rPr>
          <w:b/>
          <w:sz w:val="20"/>
        </w:rPr>
      </w:pPr>
      <w:r>
        <w:rPr>
          <w:b/>
          <w:sz w:val="20"/>
        </w:rPr>
        <w:t xml:space="preserve">Краткое имя:  </w:t>
      </w:r>
      <w:r>
        <w:rPr>
          <w:sz w:val="20"/>
        </w:rPr>
        <w:t>Устройство полов толщиной 200 мм с упрочненным верхним слоем: бетонных армированных</w:t>
      </w:r>
    </w:p>
    <w:p w:rsidR="0078144A" w:rsidRDefault="0078144A" w:rsidP="0078144A">
      <w:pPr>
        <w:rPr>
          <w:b/>
          <w:sz w:val="20"/>
        </w:rPr>
      </w:pPr>
      <w:r>
        <w:rPr>
          <w:b/>
          <w:sz w:val="20"/>
        </w:rPr>
        <w:t xml:space="preserve">Полное имя:   </w:t>
      </w:r>
      <w:r>
        <w:rPr>
          <w:sz w:val="20"/>
        </w:rPr>
        <w:t>Устройство полов толщиной 200 мм с упрочненным верхним слоем: бетонных армированных</w:t>
      </w:r>
    </w:p>
    <w:p w:rsidR="0078144A" w:rsidRDefault="0078144A" w:rsidP="0078144A">
      <w:pPr>
        <w:rPr>
          <w:b/>
          <w:sz w:val="20"/>
        </w:rPr>
      </w:pPr>
      <w:r>
        <w:rPr>
          <w:b/>
          <w:sz w:val="20"/>
        </w:rPr>
        <w:t xml:space="preserve">Единица измерения:  </w:t>
      </w:r>
      <w:r>
        <w:rPr>
          <w:sz w:val="20"/>
        </w:rPr>
        <w:t>100 м</w:t>
      </w:r>
      <w:proofErr w:type="gramStart"/>
      <w:r>
        <w:rPr>
          <w:sz w:val="20"/>
        </w:rPr>
        <w:t>2</w:t>
      </w:r>
      <w:proofErr w:type="gramEnd"/>
    </w:p>
    <w:p w:rsidR="0078144A" w:rsidRDefault="0078144A" w:rsidP="0078144A">
      <w:pPr>
        <w:jc w:val="center"/>
        <w:rPr>
          <w:rFonts w:ascii="Times New Roman" w:hAnsi="Times New Roman" w:cs="Times New Roman"/>
          <w:b/>
          <w:sz w:val="24"/>
        </w:rPr>
      </w:pPr>
    </w:p>
    <w:p w:rsidR="0078144A" w:rsidRDefault="0078144A" w:rsidP="0078144A">
      <w:pPr>
        <w:jc w:val="center"/>
        <w:rPr>
          <w:rFonts w:ascii="Times New Roman" w:hAnsi="Times New Roman" w:cs="Times New Roman"/>
          <w:b/>
          <w:sz w:val="24"/>
        </w:rPr>
      </w:pPr>
    </w:p>
    <w:p w:rsidR="0078144A" w:rsidRPr="0078144A" w:rsidRDefault="0078144A" w:rsidP="0078144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5000" w:type="pct"/>
        <w:tblLook w:val="04A0"/>
      </w:tblPr>
      <w:tblGrid>
        <w:gridCol w:w="7089"/>
        <w:gridCol w:w="1347"/>
        <w:gridCol w:w="1135"/>
      </w:tblGrid>
      <w:tr w:rsidR="0078144A" w:rsidRPr="0078144A" w:rsidTr="0078144A">
        <w:tc>
          <w:tcPr>
            <w:tcW w:w="4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78144A" w:rsidRPr="0078144A" w:rsidTr="0078144A">
        <w:tc>
          <w:tcPr>
            <w:tcW w:w="4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3748,02</w:t>
            </w:r>
          </w:p>
        </w:tc>
      </w:tr>
      <w:tr w:rsidR="0078144A" w:rsidRPr="0078144A" w:rsidTr="0078144A">
        <w:tc>
          <w:tcPr>
            <w:tcW w:w="4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875,38</w:t>
            </w:r>
          </w:p>
        </w:tc>
      </w:tr>
      <w:tr w:rsidR="0078144A" w:rsidRPr="0078144A" w:rsidTr="0078144A">
        <w:tc>
          <w:tcPr>
            <w:tcW w:w="4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217,68</w:t>
            </w:r>
          </w:p>
        </w:tc>
      </w:tr>
      <w:tr w:rsidR="0078144A" w:rsidRPr="0078144A" w:rsidTr="0078144A">
        <w:tc>
          <w:tcPr>
            <w:tcW w:w="4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т.ч. заработная плата машинистов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</w:t>
            </w:r>
          </w:p>
        </w:tc>
      </w:tr>
      <w:tr w:rsidR="0078144A" w:rsidRPr="0078144A" w:rsidTr="0078144A">
        <w:tc>
          <w:tcPr>
            <w:tcW w:w="4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2654,96</w:t>
            </w:r>
          </w:p>
        </w:tc>
      </w:tr>
      <w:tr w:rsidR="0078144A" w:rsidRPr="0078144A" w:rsidTr="0078144A">
        <w:tc>
          <w:tcPr>
            <w:tcW w:w="4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77,95</w:t>
            </w:r>
          </w:p>
        </w:tc>
      </w:tr>
      <w:tr w:rsidR="0078144A" w:rsidRPr="0078144A" w:rsidTr="0078144A">
        <w:tc>
          <w:tcPr>
            <w:tcW w:w="4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0,24</w:t>
            </w:r>
          </w:p>
        </w:tc>
      </w:tr>
      <w:tr w:rsidR="0078144A" w:rsidRPr="0078144A" w:rsidTr="0078144A">
        <w:tc>
          <w:tcPr>
            <w:tcW w:w="4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3,6</w:t>
            </w:r>
          </w:p>
        </w:tc>
      </w:tr>
    </w:tbl>
    <w:p w:rsidR="0078144A" w:rsidRDefault="0078144A" w:rsidP="0078144A">
      <w:pPr>
        <w:rPr>
          <w:rFonts w:ascii="Times New Roman" w:hAnsi="Times New Roman" w:cs="Times New Roman"/>
          <w:sz w:val="20"/>
        </w:rPr>
      </w:pPr>
    </w:p>
    <w:p w:rsidR="0078144A" w:rsidRPr="0078144A" w:rsidRDefault="0078144A" w:rsidP="0078144A">
      <w:pPr>
        <w:jc w:val="center"/>
        <w:rPr>
          <w:rFonts w:ascii="Times New Roman" w:hAnsi="Times New Roman" w:cs="Times New Roman"/>
          <w:b/>
          <w:sz w:val="24"/>
        </w:rPr>
      </w:pPr>
      <w:r w:rsidRPr="0078144A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5000" w:type="pct"/>
        <w:tblLook w:val="04A0"/>
      </w:tblPr>
      <w:tblGrid>
        <w:gridCol w:w="5354"/>
        <w:gridCol w:w="1525"/>
        <w:gridCol w:w="621"/>
        <w:gridCol w:w="782"/>
        <w:gridCol w:w="1289"/>
      </w:tblGrid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башенные при работе на других видах строительства (кроме монтажа технологического оборудования) 8 т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020129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0,14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99,39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Автопогрузчики 5 т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030101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66,97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Вибраторы глубинные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111100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1,86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Вибраторы поверхностные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111301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1,82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0,42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Пылесосы промышленные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331305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2,85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Машины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бетоноотделочные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однороторные диаметром ротора 600 мм, мощностью 4 л.с. типа СА4НС фирмы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Whiteman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385321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0,75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14,94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Машины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бетоноотделочные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однороторные диаметром ротора 600 мм, мощностью 9 л.с. типа J36H90 фирмы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Whiteman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385322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1,25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22,63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Машины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бетоноотделочные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двухроторные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диаметром ротора 2х900 мм, мощностью 20 л.с. типа JTO20HTCSL фирмы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Whiteman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385323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66,59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Нарезчики швов в затвердевшем бетоне марки CS-2413, мощность 9,6 кВт(13 л.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395422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1,17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  <w:proofErr w:type="spell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47,78</w:t>
            </w:r>
          </w:p>
        </w:tc>
      </w:tr>
    </w:tbl>
    <w:p w:rsidR="0078144A" w:rsidRDefault="0078144A" w:rsidP="0078144A">
      <w:pPr>
        <w:jc w:val="center"/>
        <w:rPr>
          <w:rFonts w:ascii="Times New Roman" w:hAnsi="Times New Roman" w:cs="Times New Roman"/>
          <w:b/>
          <w:sz w:val="24"/>
        </w:rPr>
      </w:pPr>
    </w:p>
    <w:p w:rsidR="0078144A" w:rsidRPr="0078144A" w:rsidRDefault="0078144A" w:rsidP="0078144A">
      <w:pPr>
        <w:jc w:val="center"/>
        <w:rPr>
          <w:rFonts w:ascii="Times New Roman" w:hAnsi="Times New Roman" w:cs="Times New Roman"/>
          <w:b/>
          <w:sz w:val="24"/>
        </w:rPr>
      </w:pPr>
      <w:r w:rsidRPr="0078144A">
        <w:rPr>
          <w:rFonts w:ascii="Times New Roman" w:hAnsi="Times New Roman" w:cs="Times New Roman"/>
          <w:b/>
          <w:sz w:val="24"/>
        </w:rPr>
        <w:lastRenderedPageBreak/>
        <w:t xml:space="preserve">Материалы </w:t>
      </w:r>
    </w:p>
    <w:tbl>
      <w:tblPr>
        <w:tblStyle w:val="a3"/>
        <w:tblW w:w="5000" w:type="pct"/>
        <w:tblLook w:val="04A0"/>
      </w:tblPr>
      <w:tblGrid>
        <w:gridCol w:w="5281"/>
        <w:gridCol w:w="1453"/>
        <w:gridCol w:w="766"/>
        <w:gridCol w:w="782"/>
        <w:gridCol w:w="1289"/>
      </w:tblGrid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Диск алмазный для твердых материалов, диаметр 350 мм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101-1659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0,04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775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Швеллеры, сталь полуспокойная 18пс, N 16-24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101-1802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0,0052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6540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Лента полиэтиленовая с липким слоем А50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101-2502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0,53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Герметик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полиуретановый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MASTERFLEX 474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101-2907-101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1,92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192,4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Жгуты уплотнительные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пенополиэтиленовые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сплошные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диам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10 мм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Вилатерм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104-9225-034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1,64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Ленты из эластичного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закрытоячеистого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полиэтилена толщиной 10 мм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113-0731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2,6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21,18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Грунтовка полиуретановая ELASTPOLIMER 110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113-0753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0,38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425,2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Лак водоудерживающий MASTERKURE 113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113-0762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83,85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Пленка полиэтиленовая толщиной 0,15 мм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113-9039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0,158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 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4230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Вода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411-0001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2,16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Сетка стальная сварная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101-9080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Бетон (класс по проекту)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401-9021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20,3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8144A" w:rsidRPr="0078144A" w:rsidTr="0078144A">
        <w:tc>
          <w:tcPr>
            <w:tcW w:w="35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Смеси сухие марки MASTERTOP на основе высокоактивного портландцемента с заполнителями для упрочнения поверхности бетонных полов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402-9115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78144A" w:rsidRPr="0078144A" w:rsidRDefault="0078144A" w:rsidP="0078144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78144A" w:rsidRDefault="0078144A" w:rsidP="0078144A">
      <w:pPr>
        <w:jc w:val="center"/>
        <w:rPr>
          <w:rFonts w:ascii="Times New Roman" w:hAnsi="Times New Roman" w:cs="Times New Roman"/>
          <w:b/>
          <w:sz w:val="24"/>
        </w:rPr>
      </w:pPr>
    </w:p>
    <w:p w:rsidR="0078144A" w:rsidRDefault="0078144A" w:rsidP="0078144A">
      <w:pPr>
        <w:jc w:val="center"/>
        <w:rPr>
          <w:rFonts w:ascii="Times New Roman" w:hAnsi="Times New Roman" w:cs="Times New Roman"/>
          <w:b/>
          <w:sz w:val="24"/>
        </w:rPr>
      </w:pPr>
    </w:p>
    <w:p w:rsidR="0078144A" w:rsidRPr="0078144A" w:rsidRDefault="0078144A" w:rsidP="0078144A">
      <w:pPr>
        <w:jc w:val="center"/>
        <w:rPr>
          <w:rFonts w:ascii="Times New Roman" w:hAnsi="Times New Roman" w:cs="Times New Roman"/>
          <w:b/>
          <w:sz w:val="24"/>
        </w:rPr>
      </w:pPr>
      <w:r w:rsidRPr="0078144A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5000" w:type="pct"/>
        <w:tblLook w:val="04A0"/>
      </w:tblPr>
      <w:tblGrid>
        <w:gridCol w:w="9571"/>
      </w:tblGrid>
      <w:tr w:rsidR="0078144A" w:rsidRPr="0078144A" w:rsidTr="0078144A">
        <w:tc>
          <w:tcPr>
            <w:tcW w:w="5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78144A" w:rsidRPr="0078144A" w:rsidTr="0078144A">
        <w:tc>
          <w:tcPr>
            <w:tcW w:w="5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Укладка гидроизоляционной пленки. </w:t>
            </w:r>
          </w:p>
        </w:tc>
      </w:tr>
      <w:tr w:rsidR="0078144A" w:rsidRPr="0078144A" w:rsidTr="0078144A">
        <w:tc>
          <w:tcPr>
            <w:tcW w:w="5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Укладка вдоль стен и колонн ленты из эластичного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закрытоячеистого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полиэтилена. </w:t>
            </w:r>
          </w:p>
        </w:tc>
      </w:tr>
      <w:tr w:rsidR="0078144A" w:rsidRPr="0078144A" w:rsidTr="0078144A">
        <w:tc>
          <w:tcPr>
            <w:tcW w:w="5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Установка направляющих по захваткам. </w:t>
            </w:r>
          </w:p>
        </w:tc>
      </w:tr>
      <w:tr w:rsidR="0078144A" w:rsidRPr="0078144A" w:rsidTr="0078144A">
        <w:tc>
          <w:tcPr>
            <w:tcW w:w="5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Установка арматурных сеток и каркасов (норма 1). </w:t>
            </w:r>
          </w:p>
        </w:tc>
      </w:tr>
      <w:tr w:rsidR="0078144A" w:rsidRPr="0078144A" w:rsidTr="0078144A">
        <w:tc>
          <w:tcPr>
            <w:tcW w:w="5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 Прием и укладка бетонной смеси с первоначальным выравниванием бетона по направляющим и уплотнением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виброрейкой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</w:tr>
      <w:tr w:rsidR="0078144A" w:rsidRPr="0078144A" w:rsidTr="0078144A">
        <w:tc>
          <w:tcPr>
            <w:tcW w:w="5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6.  Заглаживание и выравнивание поверхности бетона заглаживающей доской ("гладилкой"). </w:t>
            </w:r>
          </w:p>
        </w:tc>
      </w:tr>
      <w:tr w:rsidR="0078144A" w:rsidRPr="0078144A" w:rsidTr="0078144A">
        <w:tc>
          <w:tcPr>
            <w:tcW w:w="5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7.  Обработка поверхности бетона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бетоноотделочными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машинами ("вертолетами"). </w:t>
            </w:r>
          </w:p>
        </w:tc>
      </w:tr>
      <w:tr w:rsidR="0078144A" w:rsidRPr="0078144A" w:rsidTr="0078144A">
        <w:tc>
          <w:tcPr>
            <w:tcW w:w="5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8.  Нанесение на поверхность бетона первой части сухой упрочняющей смеси. </w:t>
            </w:r>
          </w:p>
        </w:tc>
      </w:tr>
      <w:tr w:rsidR="0078144A" w:rsidRPr="0078144A" w:rsidTr="0078144A">
        <w:tc>
          <w:tcPr>
            <w:tcW w:w="5000" w:type="pct"/>
          </w:tcPr>
          <w:p w:rsidR="0078144A" w:rsidRPr="0078144A" w:rsidRDefault="0078144A" w:rsidP="0078144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 Первая затирка упрочняющей смеси самоходными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бетоноотделочными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машинами. 10. Нанесение на поверхность бетона второй части сухой упрочняющей смеси. 11. Вторая затирка упрочняющей смеси самоходными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бетоноотделочными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машинами. 12. Шлифование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выглаживание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затертой бетонной поверхности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бетоноотделочными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машинами. 13. Нанесение на отшлифованную бетонную поверхность водоудерживающего лака. 14. Укрытие поверхности бетона гидроизоляционной пленкой. 15. Нарезка усадочных швов. 16. Очистка усадочных швов от пыли и грязи. 17. Заполнение усадочных швов шнуром из полиэтилена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герметиком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:rsidR="00D92032" w:rsidRPr="0078144A" w:rsidRDefault="00D92032" w:rsidP="0078144A">
      <w:pPr>
        <w:jc w:val="center"/>
        <w:rPr>
          <w:rFonts w:ascii="Times New Roman" w:hAnsi="Times New Roman" w:cs="Times New Roman"/>
          <w:b/>
          <w:sz w:val="24"/>
        </w:rPr>
      </w:pPr>
    </w:p>
    <w:sectPr w:rsidR="00D92032" w:rsidRPr="0078144A" w:rsidSect="00D9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144A"/>
    <w:rsid w:val="0078144A"/>
    <w:rsid w:val="00B15365"/>
    <w:rsid w:val="00D63915"/>
    <w:rsid w:val="00D9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2014-06-26T06:09:00Z</dcterms:created>
  <dcterms:modified xsi:type="dcterms:W3CDTF">2014-06-26T06:10:00Z</dcterms:modified>
</cp:coreProperties>
</file>