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Форма объектной сметы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составляется обычно в текущем уровне цен (хотя допускается использование и базисного уровня) по типовому образцу посредством объединения в своем составе сведений из соответствующих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локальных смет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(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локальных сметных расчетов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). Распределение затрат при этом осуществляется по графам при учете элементов сметной стоимости, таких как строительные и монтажные работы, закупка мебели, оборудования и инвентаря, прочие расходы.</w:t>
      </w:r>
    </w:p>
    <w:p w:rsidR="00CF3B55" w:rsidRPr="00CF3B55" w:rsidRDefault="00CF3B55" w:rsidP="00CF3B55">
      <w:pPr>
        <w:shd w:val="clear" w:color="auto" w:fill="FFFFFF"/>
        <w:spacing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Строительные работы включают в себя работы общестроительного и санитарно-технического характера. В комплекс монтажных работ входит:</w:t>
      </w:r>
    </w:p>
    <w:p w:rsidR="00CF3B55" w:rsidRPr="00CF3B55" w:rsidRDefault="00CF3B55" w:rsidP="00CF3B55">
      <w:pPr>
        <w:numPr>
          <w:ilvl w:val="0"/>
          <w:numId w:val="1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установка всех видов оборудования;</w:t>
      </w:r>
    </w:p>
    <w:p w:rsidR="00CF3B55" w:rsidRPr="00CF3B55" w:rsidRDefault="00CF3B55" w:rsidP="00CF3B55">
      <w:pPr>
        <w:numPr>
          <w:ilvl w:val="0"/>
          <w:numId w:val="1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монтаж электротехнических устройств;</w:t>
      </w:r>
    </w:p>
    <w:p w:rsidR="00CF3B55" w:rsidRPr="00CF3B55" w:rsidRDefault="00CF3B55" w:rsidP="00CF3B55">
      <w:pPr>
        <w:numPr>
          <w:ilvl w:val="0"/>
          <w:numId w:val="1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телефонизация;</w:t>
      </w:r>
    </w:p>
    <w:p w:rsidR="00CF3B55" w:rsidRPr="00CF3B55" w:rsidRDefault="00CF3B55" w:rsidP="00CF3B55">
      <w:pPr>
        <w:numPr>
          <w:ilvl w:val="0"/>
          <w:numId w:val="1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радиофикация и телевидение;</w:t>
      </w:r>
    </w:p>
    <w:p w:rsidR="00CF3B55" w:rsidRPr="00CF3B55" w:rsidRDefault="00CF3B55" w:rsidP="00CF3B55">
      <w:pPr>
        <w:numPr>
          <w:ilvl w:val="0"/>
          <w:numId w:val="1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диспетчеризация инженерного оборудования;</w:t>
      </w:r>
    </w:p>
    <w:p w:rsidR="00CF3B55" w:rsidRPr="00CF3B55" w:rsidRDefault="00CF3B55" w:rsidP="00CF3B55">
      <w:pPr>
        <w:numPr>
          <w:ilvl w:val="0"/>
          <w:numId w:val="1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установка </w:t>
      </w:r>
      <w:proofErr w:type="spellStart"/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домофонов</w:t>
      </w:r>
      <w:proofErr w:type="spellEnd"/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;</w:t>
      </w:r>
    </w:p>
    <w:p w:rsidR="00CF3B55" w:rsidRPr="00CF3B55" w:rsidRDefault="00CF3B55" w:rsidP="00CF3B55">
      <w:pPr>
        <w:numPr>
          <w:ilvl w:val="0"/>
          <w:numId w:val="1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автоматизация противопожарной защиты и так далее.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В разделе «Оборудование» при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составлении объектных смет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для зданий жилого и общественного назначения подразумевается стоимость, по которой закупается необходимое оборудование, мебель, производственный и хозяйственный инвентарь. В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объектных сметах строительства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производственных зданий сюда относится стоимость, по которой закупается оборудование, производственный инструмент и инвентарь. Цена хозяйственного инвентаря указывается в разделе «Прочие затраты».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При составлении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объектного сметного расчета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осуществляется нумерация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локальных сметных расчетов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в следующем формате: № 03-02-06. Здесь по порядку указывается:</w:t>
      </w:r>
    </w:p>
    <w:p w:rsidR="00CF3B55" w:rsidRPr="00CF3B55" w:rsidRDefault="00CF3B55" w:rsidP="00CF3B55">
      <w:pPr>
        <w:numPr>
          <w:ilvl w:val="0"/>
          <w:numId w:val="2"/>
        </w:numPr>
        <w:shd w:val="clear" w:color="auto" w:fill="FFFFFF"/>
        <w:spacing w:after="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номер главы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сводного сметного расчета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;</w:t>
      </w:r>
    </w:p>
    <w:p w:rsidR="00CF3B55" w:rsidRPr="00CF3B55" w:rsidRDefault="00CF3B55" w:rsidP="00CF3B55">
      <w:pPr>
        <w:numPr>
          <w:ilvl w:val="0"/>
          <w:numId w:val="2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номер объекта (строки) в главе;</w:t>
      </w:r>
    </w:p>
    <w:p w:rsidR="00CF3B55" w:rsidRPr="00CF3B55" w:rsidRDefault="00CF3B55" w:rsidP="00CF3B55">
      <w:pPr>
        <w:numPr>
          <w:ilvl w:val="0"/>
          <w:numId w:val="2"/>
        </w:numPr>
        <w:shd w:val="clear" w:color="auto" w:fill="FFFFFF"/>
        <w:spacing w:after="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номер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локальной сметы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в этой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объектной смете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Для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расчета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полной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сметной стоимости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проведения строительно-монтажных работ в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объектную смету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можно включать лимитированные затраты, для которых устанавливаются нормативы в виде процентов от сметной стоимости работ:</w:t>
      </w:r>
    </w:p>
    <w:p w:rsidR="00CF3B55" w:rsidRPr="00CF3B55" w:rsidRDefault="00CF3B55" w:rsidP="00CF3B55">
      <w:pPr>
        <w:numPr>
          <w:ilvl w:val="0"/>
          <w:numId w:val="3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возведение временных строений;</w:t>
      </w:r>
    </w:p>
    <w:p w:rsidR="00CF3B55" w:rsidRPr="00CF3B55" w:rsidRDefault="00CF3B55" w:rsidP="00CF3B55">
      <w:pPr>
        <w:numPr>
          <w:ilvl w:val="0"/>
          <w:numId w:val="3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зимнее удорожание работ;</w:t>
      </w:r>
    </w:p>
    <w:p w:rsidR="00CF3B55" w:rsidRPr="00CF3B55" w:rsidRDefault="00CF3B55" w:rsidP="00CF3B55">
      <w:pPr>
        <w:numPr>
          <w:ilvl w:val="0"/>
          <w:numId w:val="3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часть резерва на случай непредвиденных работ и затрат.</w:t>
      </w:r>
    </w:p>
    <w:p w:rsidR="00CF3B55" w:rsidRPr="00CF3B55" w:rsidRDefault="00CF3B55" w:rsidP="00CF3B55">
      <w:pPr>
        <w:shd w:val="clear" w:color="auto" w:fill="FFFFFF"/>
        <w:spacing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Сюда же может включаться и налог на добавленную стоимость.</w:t>
      </w:r>
    </w:p>
    <w:p w:rsidR="00CF3B55" w:rsidRPr="00CF3B55" w:rsidRDefault="00CF3B55" w:rsidP="00CF3B55">
      <w:pPr>
        <w:shd w:val="clear" w:color="auto" w:fill="FFFFFF"/>
        <w:spacing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В результате подсчитывается сумма необходимых капитальных вложений на строительство (реконструкцию) объекта, которая распределена по элементам технологической структуры.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При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составлении объектной сметы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 построчно и в итоге указываются показатели </w:t>
      </w:r>
      <w:r w:rsidRPr="00743DC9">
        <w:rPr>
          <w:rFonts w:ascii="Century" w:eastAsia="Times New Roman" w:hAnsi="Century" w:cs="Arial"/>
          <w:b/>
          <w:color w:val="666666"/>
          <w:sz w:val="18"/>
          <w:szCs w:val="18"/>
          <w:lang w:eastAsia="ru-RU"/>
        </w:rPr>
        <w:t>единичной стоимости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 для расчетных измерителей здания:</w:t>
      </w:r>
    </w:p>
    <w:p w:rsidR="00CF3B55" w:rsidRPr="00CF3B55" w:rsidRDefault="00CF3B55" w:rsidP="00CF3B55">
      <w:pPr>
        <w:numPr>
          <w:ilvl w:val="0"/>
          <w:numId w:val="4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1 кубометр строительного объема;</w:t>
      </w:r>
    </w:p>
    <w:p w:rsidR="00CF3B55" w:rsidRPr="00CF3B55" w:rsidRDefault="00CF3B55" w:rsidP="00CF3B55">
      <w:pPr>
        <w:numPr>
          <w:ilvl w:val="0"/>
          <w:numId w:val="4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1 квадратный метр общей площади;</w:t>
      </w:r>
    </w:p>
    <w:p w:rsidR="00CF3B55" w:rsidRPr="00CF3B55" w:rsidRDefault="00CF3B55" w:rsidP="00CF3B55">
      <w:pPr>
        <w:numPr>
          <w:ilvl w:val="0"/>
          <w:numId w:val="4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1 метр длины инженерных сетей и так далее.</w:t>
      </w:r>
    </w:p>
    <w:p w:rsidR="00CF3B55" w:rsidRPr="00CF3B55" w:rsidRDefault="00CF3B55" w:rsidP="00CF3B55">
      <w:pPr>
        <w:shd w:val="clear" w:color="auto" w:fill="FFFFFF"/>
        <w:spacing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Показатели </w:t>
      </w:r>
      <w:r w:rsidRPr="00743DC9">
        <w:rPr>
          <w:rFonts w:ascii="Century" w:eastAsia="Times New Roman" w:hAnsi="Century" w:cs="Arial"/>
          <w:b/>
          <w:color w:val="666666"/>
          <w:sz w:val="18"/>
          <w:szCs w:val="18"/>
          <w:lang w:eastAsia="ru-RU"/>
        </w:rPr>
        <w:t>единичной стоимости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 можно использовать для того, чтобы оценить уровень сметной стоимости на возведение здания и проанализировать ее структуру в сравнении с параметрами для объектов с аналогичным назначением. Эти же показатели можно использовать как основание для создания базы данных по аналогам.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При подготовке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объектного сметного расчета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 за его итогом </w:t>
      </w:r>
      <w:proofErr w:type="spellStart"/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справочно</w:t>
      </w:r>
      <w:proofErr w:type="spellEnd"/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 указываются возвратные суммы, которые включают в себя стоимость возвратных материалов, полученных от разборки временных строений и строительных конструкций.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Если в жилых зданиях планируется размещение офисных помещений, то в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составе объектной сметы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учитывается выделение жилых и нежилых частей.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Для составления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объектных сметных расчетов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могут использоваться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укрупненные сметные нормативы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, а также базы данных по объектам-аналогам. В качестве аналогов могут использоваться построенные или находящиеся на стадии строительства объекты, сметы для которых составлены с использованием рабочих чертежей.</w:t>
      </w:r>
    </w:p>
    <w:p w:rsidR="00CF3B55" w:rsidRPr="00CF3B55" w:rsidRDefault="00CF3B55" w:rsidP="00CF3B55">
      <w:pPr>
        <w:shd w:val="clear" w:color="auto" w:fill="FFFFFF"/>
        <w:spacing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В процессе выбора аналога необходимо обеспечивать максимальное соответствие параметров проектируемого и аналогичного объекта по таким признакам, как:</w:t>
      </w:r>
    </w:p>
    <w:p w:rsidR="00CF3B55" w:rsidRPr="00CF3B55" w:rsidRDefault="00CF3B55" w:rsidP="00CF3B55">
      <w:pPr>
        <w:numPr>
          <w:ilvl w:val="0"/>
          <w:numId w:val="5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функциональное назначение;</w:t>
      </w:r>
    </w:p>
    <w:p w:rsidR="00CF3B55" w:rsidRPr="00CF3B55" w:rsidRDefault="00CF3B55" w:rsidP="00CF3B55">
      <w:pPr>
        <w:numPr>
          <w:ilvl w:val="0"/>
          <w:numId w:val="5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производственно-техническое назначение;</w:t>
      </w:r>
    </w:p>
    <w:p w:rsidR="00CF3B55" w:rsidRPr="00CF3B55" w:rsidRDefault="00CF3B55" w:rsidP="00CF3B55">
      <w:pPr>
        <w:numPr>
          <w:ilvl w:val="0"/>
          <w:numId w:val="5"/>
        </w:numPr>
        <w:shd w:val="clear" w:color="auto" w:fill="FFFFFF"/>
        <w:spacing w:after="100" w:line="200" w:lineRule="atLeast"/>
        <w:ind w:left="180" w:hanging="160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конструктивно-планировочное решение.</w:t>
      </w:r>
    </w:p>
    <w:p w:rsidR="00CF3B55" w:rsidRPr="00CF3B55" w:rsidRDefault="00CF3B55" w:rsidP="00CF3B55">
      <w:pPr>
        <w:shd w:val="clear" w:color="auto" w:fill="FFFFFF"/>
        <w:spacing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 xml:space="preserve">Стоимость объекта-аналога нужно приводить к единице измерения, которая должна достоверно показывать имеющиеся у объекта конструктивные и объемно-планировочные решения. Показатели единичной стоимости необходимо 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lastRenderedPageBreak/>
        <w:t>приводить к уровню текущих для района строительства цен посредством использования районных коэффициентов и региональных индексов, предусмотренных для стоимости строительно-монтажных работ.</w:t>
      </w:r>
    </w:p>
    <w:p w:rsidR="00CF3B55" w:rsidRPr="00CF3B55" w:rsidRDefault="00CF3B55" w:rsidP="00CF3B55">
      <w:pPr>
        <w:shd w:val="clear" w:color="auto" w:fill="FFFFFF"/>
        <w:spacing w:after="0" w:line="200" w:lineRule="atLeast"/>
        <w:textAlignment w:val="baseline"/>
        <w:rPr>
          <w:rFonts w:ascii="Century" w:eastAsia="Times New Roman" w:hAnsi="Century" w:cs="Arial"/>
          <w:color w:val="666666"/>
          <w:sz w:val="18"/>
          <w:szCs w:val="18"/>
          <w:lang w:eastAsia="ru-RU"/>
        </w:rPr>
      </w:pP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Когда в ходе строительства, реконструкции или капитального ремонта объекта производится только один вид работ (общестроительных, санитарно-технических и других), составление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объектного сметного расчета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 не требуется. В данном случае достаточно </w:t>
      </w:r>
      <w:r w:rsidRPr="00CF3B55">
        <w:rPr>
          <w:rFonts w:ascii="Century" w:eastAsia="Times New Roman" w:hAnsi="Century" w:cs="Arial"/>
          <w:b/>
          <w:bCs/>
          <w:color w:val="666666"/>
          <w:sz w:val="18"/>
          <w:szCs w:val="18"/>
          <w:lang w:eastAsia="ru-RU"/>
        </w:rPr>
        <w:t>локального сметного расчета</w:t>
      </w:r>
      <w:r w:rsidRPr="00CF3B55">
        <w:rPr>
          <w:rFonts w:ascii="Century" w:eastAsia="Times New Roman" w:hAnsi="Century" w:cs="Arial"/>
          <w:color w:val="666666"/>
          <w:sz w:val="18"/>
          <w:szCs w:val="18"/>
          <w:lang w:eastAsia="ru-RU"/>
        </w:rPr>
        <w:t>, в итоге которого учитываются лимитированные затраты и НДС.</w:t>
      </w:r>
    </w:p>
    <w:p w:rsidR="003270E6" w:rsidRPr="00CF3B55" w:rsidRDefault="003270E6">
      <w:pPr>
        <w:rPr>
          <w:rFonts w:ascii="Century" w:hAnsi="Century"/>
          <w:sz w:val="18"/>
          <w:szCs w:val="18"/>
        </w:rPr>
      </w:pPr>
    </w:p>
    <w:sectPr w:rsidR="003270E6" w:rsidRPr="00CF3B55" w:rsidSect="00CF3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67FE"/>
    <w:multiLevelType w:val="multilevel"/>
    <w:tmpl w:val="1660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67E9A"/>
    <w:multiLevelType w:val="multilevel"/>
    <w:tmpl w:val="75E8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E7950"/>
    <w:multiLevelType w:val="multilevel"/>
    <w:tmpl w:val="833C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87669"/>
    <w:multiLevelType w:val="multilevel"/>
    <w:tmpl w:val="C44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C065A3"/>
    <w:multiLevelType w:val="multilevel"/>
    <w:tmpl w:val="BAD4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B55"/>
    <w:rsid w:val="003270E6"/>
    <w:rsid w:val="00395739"/>
    <w:rsid w:val="00743DC9"/>
    <w:rsid w:val="00CF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B55"/>
    <w:rPr>
      <w:b/>
      <w:bCs/>
    </w:rPr>
  </w:style>
  <w:style w:type="character" w:customStyle="1" w:styleId="apple-converted-space">
    <w:name w:val="apple-converted-space"/>
    <w:basedOn w:val="a0"/>
    <w:rsid w:val="00CF3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Company>Microsoft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SpektorTB</dc:creator>
  <cp:keywords/>
  <dc:description/>
  <cp:lastModifiedBy>SpektorTB</cp:lastModifiedBy>
  <cp:revision>3</cp:revision>
  <dcterms:created xsi:type="dcterms:W3CDTF">2014-06-27T10:57:00Z</dcterms:created>
  <dcterms:modified xsi:type="dcterms:W3CDTF">2014-06-27T10:58:00Z</dcterms:modified>
</cp:coreProperties>
</file>