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DA3" w:rsidRPr="00A11EF4" w:rsidRDefault="00491E3B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622935</wp:posOffset>
            </wp:positionH>
            <wp:positionV relativeFrom="page">
              <wp:posOffset>10234930</wp:posOffset>
            </wp:positionV>
            <wp:extent cx="6758940" cy="43180"/>
            <wp:effectExtent l="0" t="0" r="0" b="0"/>
            <wp:wrapNone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F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ge">
              <wp:posOffset>377190</wp:posOffset>
            </wp:positionV>
            <wp:extent cx="6172200" cy="405765"/>
            <wp:effectExtent l="0" t="0" r="0" b="0"/>
            <wp:wrapNone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F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ge">
              <wp:posOffset>262890</wp:posOffset>
            </wp:positionV>
            <wp:extent cx="864235" cy="864235"/>
            <wp:effectExtent l="0" t="0" r="0" b="0"/>
            <wp:wrapNone/>
            <wp:docPr id="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DA3" w:rsidRPr="00A11EF4" w:rsidRDefault="00B02DA3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B760F" w:rsidRPr="00A11EF4" w:rsidRDefault="00CB760F" w:rsidP="00A94A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F6B24" w:rsidRPr="00A11EF4" w:rsidRDefault="007F6B24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F6B24" w:rsidRPr="00A11EF4" w:rsidRDefault="007F6B24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11EF4">
        <w:rPr>
          <w:rFonts w:ascii="Times New Roman" w:hAnsi="Times New Roman"/>
          <w:b/>
          <w:color w:val="000000"/>
          <w:sz w:val="32"/>
          <w:szCs w:val="32"/>
        </w:rPr>
        <w:t>Отчет</w:t>
      </w: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11EF4">
        <w:rPr>
          <w:rFonts w:ascii="Times New Roman" w:hAnsi="Times New Roman"/>
          <w:b/>
          <w:color w:val="000000"/>
          <w:sz w:val="32"/>
          <w:szCs w:val="32"/>
        </w:rPr>
        <w:t>о сравнении фактического уровня накладных расходов</w:t>
      </w: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11EF4">
        <w:rPr>
          <w:rFonts w:ascii="Times New Roman" w:hAnsi="Times New Roman"/>
          <w:b/>
          <w:color w:val="000000"/>
          <w:sz w:val="32"/>
          <w:szCs w:val="32"/>
        </w:rPr>
        <w:t>с нормативами, вводимыми Методикой их определения</w:t>
      </w:r>
    </w:p>
    <w:p w:rsidR="00CB760F" w:rsidRPr="00A11EF4" w:rsidRDefault="00CB760F" w:rsidP="00CB760F">
      <w:pPr>
        <w:rPr>
          <w:rFonts w:ascii="Times New Roman" w:hAnsi="Times New Roman"/>
          <w:color w:val="000000"/>
        </w:rPr>
      </w:pP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выполнен согласно решению по п.3.1 Протокола открытого совещания </w:t>
      </w: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рабочих групп по методологии сметного ценообразования </w:t>
      </w:r>
    </w:p>
    <w:p w:rsidR="00CB760F" w:rsidRPr="00A11EF4" w:rsidRDefault="00CB760F" w:rsidP="00CB76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при Минстрое России от 06.09.2018 г.</w:t>
      </w: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931" w:rsidRPr="00A11EF4" w:rsidRDefault="00BA793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931" w:rsidRPr="00A11EF4" w:rsidRDefault="00BA793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931" w:rsidRPr="00A11EF4" w:rsidRDefault="00BA793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931" w:rsidRPr="00A11EF4" w:rsidRDefault="00BA793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3367" w:rsidRPr="00A11EF4" w:rsidRDefault="00D83367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3367" w:rsidRPr="00A11EF4" w:rsidRDefault="00D83367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3367" w:rsidRPr="00A11EF4" w:rsidRDefault="00D83367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3367" w:rsidRPr="00A11EF4" w:rsidRDefault="00D83367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3367" w:rsidRPr="00A11EF4" w:rsidRDefault="00D83367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3367" w:rsidRPr="00A11EF4" w:rsidRDefault="00D83367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931" w:rsidRPr="00A11EF4" w:rsidRDefault="00BA793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760F" w:rsidRPr="00A11EF4" w:rsidRDefault="00CB760F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760F" w:rsidRPr="00A11EF4" w:rsidRDefault="00CB760F" w:rsidP="00CB760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Москва 2018</w:t>
      </w: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171" w:rsidRPr="00A11EF4" w:rsidRDefault="004E0171" w:rsidP="000F7B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7931" w:rsidRPr="00A11EF4" w:rsidRDefault="00BA7931" w:rsidP="00713149">
      <w:pPr>
        <w:spacing w:before="120" w:after="120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BA7931" w:rsidRPr="00A11EF4" w:rsidSect="00C946D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3149" w:rsidRPr="00A11EF4" w:rsidRDefault="00713149" w:rsidP="00713149">
      <w:pPr>
        <w:spacing w:before="12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1EF4">
        <w:rPr>
          <w:rFonts w:ascii="Times New Roman" w:hAnsi="Times New Roman"/>
          <w:b/>
          <w:color w:val="000000"/>
          <w:sz w:val="28"/>
          <w:szCs w:val="28"/>
        </w:rPr>
        <w:lastRenderedPageBreak/>
        <w:t>Оглавление</w:t>
      </w:r>
    </w:p>
    <w:p w:rsidR="00B44B76" w:rsidRPr="00A11EF4" w:rsidRDefault="00713149">
      <w:pPr>
        <w:pStyle w:val="1"/>
        <w:tabs>
          <w:tab w:val="right" w:leader="dot" w:pos="9345"/>
        </w:tabs>
        <w:rPr>
          <w:noProof/>
        </w:rPr>
      </w:pPr>
      <w:r w:rsidRPr="00A11EF4">
        <w:rPr>
          <w:color w:val="000000"/>
        </w:rPr>
        <w:fldChar w:fldCharType="begin"/>
      </w:r>
      <w:r w:rsidRPr="00A11EF4">
        <w:rPr>
          <w:color w:val="000000"/>
        </w:rPr>
        <w:instrText xml:space="preserve"> TOC \o "1-3" \h \z \u </w:instrText>
      </w:r>
      <w:r w:rsidRPr="00A11EF4">
        <w:rPr>
          <w:color w:val="000000"/>
        </w:rPr>
        <w:fldChar w:fldCharType="separate"/>
      </w:r>
      <w:hyperlink w:anchor="_Toc527914215" w:history="1">
        <w:r w:rsidR="00B44B76" w:rsidRPr="00A11EF4">
          <w:rPr>
            <w:rStyle w:val="af"/>
            <w:noProof/>
          </w:rPr>
          <w:t>Введение</w:t>
        </w:r>
        <w:r w:rsidR="00B44B76" w:rsidRPr="00A11EF4">
          <w:rPr>
            <w:noProof/>
            <w:webHidden/>
          </w:rPr>
          <w:tab/>
        </w:r>
        <w:r w:rsidR="00B44B76" w:rsidRPr="00A11EF4">
          <w:rPr>
            <w:noProof/>
            <w:webHidden/>
          </w:rPr>
          <w:fldChar w:fldCharType="begin"/>
        </w:r>
        <w:r w:rsidR="00B44B76" w:rsidRPr="00A11EF4">
          <w:rPr>
            <w:noProof/>
            <w:webHidden/>
          </w:rPr>
          <w:instrText xml:space="preserve"> PAGEREF _Toc527914215 \h </w:instrText>
        </w:r>
        <w:r w:rsidR="005D1185" w:rsidRPr="00A11EF4">
          <w:rPr>
            <w:noProof/>
          </w:rPr>
        </w:r>
        <w:r w:rsidR="00B44B76" w:rsidRPr="00A11EF4">
          <w:rPr>
            <w:noProof/>
            <w:webHidden/>
          </w:rPr>
          <w:fldChar w:fldCharType="separate"/>
        </w:r>
        <w:r w:rsidR="00B03272" w:rsidRPr="00A11EF4">
          <w:rPr>
            <w:noProof/>
            <w:webHidden/>
          </w:rPr>
          <w:t>3</w:t>
        </w:r>
        <w:r w:rsidR="00B44B76" w:rsidRPr="00A11EF4">
          <w:rPr>
            <w:noProof/>
            <w:webHidden/>
          </w:rPr>
          <w:fldChar w:fldCharType="end"/>
        </w:r>
      </w:hyperlink>
    </w:p>
    <w:p w:rsidR="00B44B76" w:rsidRPr="00A11EF4" w:rsidRDefault="00B44B76">
      <w:pPr>
        <w:pStyle w:val="1"/>
        <w:tabs>
          <w:tab w:val="right" w:leader="dot" w:pos="9345"/>
        </w:tabs>
        <w:rPr>
          <w:noProof/>
        </w:rPr>
      </w:pPr>
      <w:hyperlink w:anchor="_Toc527914216" w:history="1">
        <w:r w:rsidRPr="00A11EF4">
          <w:rPr>
            <w:rStyle w:val="af"/>
            <w:noProof/>
          </w:rPr>
          <w:t>Анализ данных Методики определения накладных расходов</w:t>
        </w:r>
        <w:r w:rsidRPr="00A11EF4">
          <w:rPr>
            <w:noProof/>
            <w:webHidden/>
          </w:rPr>
          <w:tab/>
        </w:r>
        <w:r w:rsidRPr="00A11EF4">
          <w:rPr>
            <w:noProof/>
            <w:webHidden/>
          </w:rPr>
          <w:fldChar w:fldCharType="begin"/>
        </w:r>
        <w:r w:rsidRPr="00A11EF4">
          <w:rPr>
            <w:noProof/>
            <w:webHidden/>
          </w:rPr>
          <w:instrText xml:space="preserve"> PAGEREF _Toc527914216 \h </w:instrText>
        </w:r>
        <w:r w:rsidR="005D1185" w:rsidRPr="00A11EF4">
          <w:rPr>
            <w:noProof/>
          </w:rPr>
        </w:r>
        <w:r w:rsidRPr="00A11EF4">
          <w:rPr>
            <w:noProof/>
            <w:webHidden/>
          </w:rPr>
          <w:fldChar w:fldCharType="separate"/>
        </w:r>
        <w:r w:rsidR="00B03272" w:rsidRPr="00A11EF4">
          <w:rPr>
            <w:noProof/>
            <w:webHidden/>
          </w:rPr>
          <w:t>5</w:t>
        </w:r>
        <w:r w:rsidRPr="00A11EF4">
          <w:rPr>
            <w:noProof/>
            <w:webHidden/>
          </w:rPr>
          <w:fldChar w:fldCharType="end"/>
        </w:r>
      </w:hyperlink>
    </w:p>
    <w:p w:rsidR="00B44B76" w:rsidRPr="00A11EF4" w:rsidRDefault="00B44B76">
      <w:pPr>
        <w:pStyle w:val="1"/>
        <w:tabs>
          <w:tab w:val="right" w:leader="dot" w:pos="9345"/>
        </w:tabs>
        <w:rPr>
          <w:noProof/>
        </w:rPr>
      </w:pPr>
      <w:hyperlink w:anchor="_Toc527914217" w:history="1">
        <w:r w:rsidRPr="00A11EF4">
          <w:rPr>
            <w:rStyle w:val="af"/>
            <w:noProof/>
          </w:rPr>
          <w:t>Анализ данных Росстата</w:t>
        </w:r>
        <w:r w:rsidRPr="00A11EF4">
          <w:rPr>
            <w:noProof/>
            <w:webHidden/>
          </w:rPr>
          <w:tab/>
        </w:r>
        <w:r w:rsidRPr="00A11EF4">
          <w:rPr>
            <w:noProof/>
            <w:webHidden/>
          </w:rPr>
          <w:fldChar w:fldCharType="begin"/>
        </w:r>
        <w:r w:rsidRPr="00A11EF4">
          <w:rPr>
            <w:noProof/>
            <w:webHidden/>
          </w:rPr>
          <w:instrText xml:space="preserve"> PAGEREF _Toc527914217 \h </w:instrText>
        </w:r>
        <w:r w:rsidR="005D1185" w:rsidRPr="00A11EF4">
          <w:rPr>
            <w:noProof/>
          </w:rPr>
        </w:r>
        <w:r w:rsidRPr="00A11EF4">
          <w:rPr>
            <w:noProof/>
            <w:webHidden/>
          </w:rPr>
          <w:fldChar w:fldCharType="separate"/>
        </w:r>
        <w:r w:rsidR="00B03272" w:rsidRPr="00A11EF4">
          <w:rPr>
            <w:noProof/>
            <w:webHidden/>
          </w:rPr>
          <w:t>9</w:t>
        </w:r>
        <w:r w:rsidRPr="00A11EF4">
          <w:rPr>
            <w:noProof/>
            <w:webHidden/>
          </w:rPr>
          <w:fldChar w:fldCharType="end"/>
        </w:r>
      </w:hyperlink>
    </w:p>
    <w:p w:rsidR="00B44B76" w:rsidRPr="00A11EF4" w:rsidRDefault="00B44B76">
      <w:pPr>
        <w:pStyle w:val="1"/>
        <w:tabs>
          <w:tab w:val="right" w:leader="dot" w:pos="9345"/>
        </w:tabs>
        <w:rPr>
          <w:noProof/>
        </w:rPr>
      </w:pPr>
      <w:hyperlink w:anchor="_Toc527914218" w:history="1">
        <w:r w:rsidRPr="00A11EF4">
          <w:rPr>
            <w:rStyle w:val="af"/>
            <w:noProof/>
          </w:rPr>
          <w:t>Анализ данных строительных компаний</w:t>
        </w:r>
        <w:r w:rsidRPr="00A11EF4">
          <w:rPr>
            <w:noProof/>
            <w:webHidden/>
          </w:rPr>
          <w:tab/>
        </w:r>
        <w:r w:rsidRPr="00A11EF4">
          <w:rPr>
            <w:noProof/>
            <w:webHidden/>
          </w:rPr>
          <w:fldChar w:fldCharType="begin"/>
        </w:r>
        <w:r w:rsidRPr="00A11EF4">
          <w:rPr>
            <w:noProof/>
            <w:webHidden/>
          </w:rPr>
          <w:instrText xml:space="preserve"> PAGEREF _Toc527914218 \h </w:instrText>
        </w:r>
        <w:r w:rsidR="005D1185" w:rsidRPr="00A11EF4">
          <w:rPr>
            <w:noProof/>
          </w:rPr>
        </w:r>
        <w:r w:rsidRPr="00A11EF4">
          <w:rPr>
            <w:noProof/>
            <w:webHidden/>
          </w:rPr>
          <w:fldChar w:fldCharType="separate"/>
        </w:r>
        <w:r w:rsidR="00B03272" w:rsidRPr="00A11EF4">
          <w:rPr>
            <w:noProof/>
            <w:webHidden/>
          </w:rPr>
          <w:t>12</w:t>
        </w:r>
        <w:r w:rsidRPr="00A11EF4">
          <w:rPr>
            <w:noProof/>
            <w:webHidden/>
          </w:rPr>
          <w:fldChar w:fldCharType="end"/>
        </w:r>
      </w:hyperlink>
    </w:p>
    <w:p w:rsidR="00B44B76" w:rsidRPr="00A11EF4" w:rsidRDefault="00B44B76">
      <w:pPr>
        <w:pStyle w:val="1"/>
        <w:tabs>
          <w:tab w:val="right" w:leader="dot" w:pos="9345"/>
        </w:tabs>
        <w:rPr>
          <w:noProof/>
        </w:rPr>
      </w:pPr>
      <w:hyperlink w:anchor="_Toc527914219" w:history="1">
        <w:r w:rsidRPr="00A11EF4">
          <w:rPr>
            <w:rStyle w:val="af"/>
            <w:noProof/>
          </w:rPr>
          <w:t>Выводы</w:t>
        </w:r>
        <w:r w:rsidRPr="00A11EF4">
          <w:rPr>
            <w:noProof/>
            <w:webHidden/>
          </w:rPr>
          <w:tab/>
        </w:r>
        <w:r w:rsidRPr="00A11EF4">
          <w:rPr>
            <w:noProof/>
            <w:webHidden/>
          </w:rPr>
          <w:fldChar w:fldCharType="begin"/>
        </w:r>
        <w:r w:rsidRPr="00A11EF4">
          <w:rPr>
            <w:noProof/>
            <w:webHidden/>
          </w:rPr>
          <w:instrText xml:space="preserve"> PAGEREF _Toc527914219 \h </w:instrText>
        </w:r>
        <w:r w:rsidR="005D1185" w:rsidRPr="00A11EF4">
          <w:rPr>
            <w:noProof/>
          </w:rPr>
        </w:r>
        <w:r w:rsidRPr="00A11EF4">
          <w:rPr>
            <w:noProof/>
            <w:webHidden/>
          </w:rPr>
          <w:fldChar w:fldCharType="separate"/>
        </w:r>
        <w:r w:rsidR="00B03272" w:rsidRPr="00A11EF4">
          <w:rPr>
            <w:noProof/>
            <w:webHidden/>
          </w:rPr>
          <w:t>15</w:t>
        </w:r>
        <w:r w:rsidRPr="00A11EF4">
          <w:rPr>
            <w:noProof/>
            <w:webHidden/>
          </w:rPr>
          <w:fldChar w:fldCharType="end"/>
        </w:r>
      </w:hyperlink>
    </w:p>
    <w:p w:rsidR="00B44B76" w:rsidRPr="00A11EF4" w:rsidRDefault="00B44B76">
      <w:pPr>
        <w:pStyle w:val="1"/>
        <w:tabs>
          <w:tab w:val="right" w:leader="dot" w:pos="9345"/>
        </w:tabs>
        <w:rPr>
          <w:noProof/>
        </w:rPr>
      </w:pPr>
      <w:hyperlink w:anchor="_Toc527914220" w:history="1">
        <w:r w:rsidRPr="00A11EF4">
          <w:rPr>
            <w:rStyle w:val="af"/>
            <w:noProof/>
          </w:rPr>
          <w:t>Приложения</w:t>
        </w:r>
        <w:r w:rsidRPr="00A11EF4">
          <w:rPr>
            <w:noProof/>
            <w:webHidden/>
          </w:rPr>
          <w:tab/>
        </w:r>
        <w:r w:rsidRPr="00A11EF4">
          <w:rPr>
            <w:noProof/>
            <w:webHidden/>
          </w:rPr>
          <w:fldChar w:fldCharType="begin"/>
        </w:r>
        <w:r w:rsidRPr="00A11EF4">
          <w:rPr>
            <w:noProof/>
            <w:webHidden/>
          </w:rPr>
          <w:instrText xml:space="preserve"> PAGEREF _Toc527914220 \h </w:instrText>
        </w:r>
        <w:r w:rsidR="005D1185" w:rsidRPr="00A11EF4">
          <w:rPr>
            <w:noProof/>
          </w:rPr>
        </w:r>
        <w:r w:rsidRPr="00A11EF4">
          <w:rPr>
            <w:noProof/>
            <w:webHidden/>
          </w:rPr>
          <w:fldChar w:fldCharType="separate"/>
        </w:r>
        <w:r w:rsidR="00B03272" w:rsidRPr="00A11EF4">
          <w:rPr>
            <w:noProof/>
            <w:webHidden/>
          </w:rPr>
          <w:t>17</w:t>
        </w:r>
        <w:r w:rsidRPr="00A11EF4">
          <w:rPr>
            <w:noProof/>
            <w:webHidden/>
          </w:rPr>
          <w:fldChar w:fldCharType="end"/>
        </w:r>
      </w:hyperlink>
    </w:p>
    <w:p w:rsidR="00713149" w:rsidRPr="00A11EF4" w:rsidRDefault="00713149" w:rsidP="00713149">
      <w:pPr>
        <w:spacing w:before="120" w:after="120"/>
        <w:jc w:val="both"/>
        <w:rPr>
          <w:color w:val="000000"/>
          <w:sz w:val="28"/>
          <w:szCs w:val="28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8A5477" w:rsidRPr="0075011A" w:rsidRDefault="008A5477" w:rsidP="0075011A"/>
    <w:p w:rsidR="00BA7931" w:rsidRPr="00A11EF4" w:rsidRDefault="00BA7931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  <w:sectPr w:rsidR="00BA7931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477" w:rsidRPr="00A11EF4" w:rsidRDefault="008A5477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27914215"/>
      <w:r w:rsidRPr="00A11EF4">
        <w:rPr>
          <w:rFonts w:ascii="Times New Roman" w:hAnsi="Times New Roman"/>
          <w:b/>
          <w:color w:val="000000"/>
          <w:sz w:val="28"/>
          <w:szCs w:val="28"/>
        </w:rPr>
        <w:t>Введение</w:t>
      </w:r>
      <w:bookmarkEnd w:id="0"/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Цель настоящего Отчета:</w:t>
      </w:r>
    </w:p>
    <w:p w:rsidR="008A5477" w:rsidRPr="00A11EF4" w:rsidRDefault="008A5477" w:rsidP="00F538EC">
      <w:pPr>
        <w:numPr>
          <w:ilvl w:val="0"/>
          <w:numId w:val="6"/>
        </w:numPr>
        <w:tabs>
          <w:tab w:val="clear" w:pos="1429"/>
          <w:tab w:val="num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сравнение нормативов накладных расходов в проекте «Методики определения велич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ны накладных расходов в строительстве» (далее – Методика) со статистическими данными и фактическими показателями компаний с целью определения адекватности указанных нормативов среднеотраслевому уровню во исполнение решения р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бочих групп по методологии сметного ценообразования при Минстрое России от 06.09.2018 г.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1"/>
      </w:r>
    </w:p>
    <w:p w:rsidR="008A5477" w:rsidRPr="00A11EF4" w:rsidRDefault="008A5477" w:rsidP="00F538EC">
      <w:pPr>
        <w:numPr>
          <w:ilvl w:val="0"/>
          <w:numId w:val="6"/>
        </w:numPr>
        <w:tabs>
          <w:tab w:val="clear" w:pos="1429"/>
          <w:tab w:val="num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выявление необходимости доработки нормативов накладных расходов для до</w:t>
      </w:r>
      <w:r w:rsidRPr="00A11EF4">
        <w:rPr>
          <w:rFonts w:ascii="Times New Roman" w:hAnsi="Times New Roman"/>
          <w:color w:val="000000"/>
          <w:sz w:val="24"/>
          <w:szCs w:val="24"/>
        </w:rPr>
        <w:t>с</w:t>
      </w:r>
      <w:r w:rsidRPr="00A11EF4">
        <w:rPr>
          <w:rFonts w:ascii="Times New Roman" w:hAnsi="Times New Roman"/>
          <w:color w:val="000000"/>
          <w:sz w:val="24"/>
          <w:szCs w:val="24"/>
        </w:rPr>
        <w:t>тижения целей реформирования нормативно-правовой базы сметного ценообразования в строител</w:t>
      </w:r>
      <w:r w:rsidRPr="00A11EF4">
        <w:rPr>
          <w:rFonts w:ascii="Times New Roman" w:hAnsi="Times New Roman"/>
          <w:color w:val="000000"/>
          <w:sz w:val="24"/>
          <w:szCs w:val="24"/>
        </w:rPr>
        <w:t>ь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стве. </w:t>
      </w:r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связи с просьбой в мае 2018 г. департамента ценообразования и градостроител</w:t>
      </w:r>
      <w:r w:rsidRPr="00A11EF4">
        <w:rPr>
          <w:rFonts w:ascii="Times New Roman" w:hAnsi="Times New Roman"/>
          <w:color w:val="000000"/>
          <w:sz w:val="24"/>
          <w:szCs w:val="24"/>
        </w:rPr>
        <w:t>ь</w:t>
      </w:r>
      <w:r w:rsidRPr="00A11EF4">
        <w:rPr>
          <w:rFonts w:ascii="Times New Roman" w:hAnsi="Times New Roman"/>
          <w:color w:val="000000"/>
          <w:sz w:val="24"/>
          <w:szCs w:val="24"/>
        </w:rPr>
        <w:t>ного зонирования Минстроя России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2"/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в адрес рабочих групп по методологии сметного ц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нообразования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3"/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об участии в согласительных совещаниях по проектам приказов о введении методик расчета сто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мости строительства в июне выполнен предварительный анализ Методики. </w:t>
      </w:r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Анализ показал, что нормативы накладных расходов в 2-3 раза ниже уровня анал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гичных показателей, сложившихся в российских строительных компаниях. Такой вывод вызвал глубокую озабоченность профессионального сообщества. По мнению последнего, введение предлагаемых нормативов не отвечает целям реформы сметного ценообразов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ния, повлечет недофинансирование строительных проектов и вытеснение со строительного рынка его добросовестных участн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ков. </w:t>
      </w:r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Для обоснования позиции профессионального сообщества рабочими группами был организован сбор фактических данных путем опроса строительных компаний с примен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нием специально разработанных для этой цели анкет. В опросе приняли участие более п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лусотни крупнейших предприятий сферы инфраструктурного строительства (далее – ко</w:t>
      </w:r>
      <w:r w:rsidRPr="00A11EF4">
        <w:rPr>
          <w:rFonts w:ascii="Times New Roman" w:hAnsi="Times New Roman"/>
          <w:color w:val="000000"/>
          <w:sz w:val="24"/>
          <w:szCs w:val="24"/>
        </w:rPr>
        <w:t>м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пании-участники опроса). </w:t>
      </w:r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Кроме того, рабочими группами у ФАУ «Главгосэкспертиза России» (далее – Главгосэкспертиза) были запрошены методика расчета нормативов и использованные статистические да</w:t>
      </w:r>
      <w:r w:rsidRPr="00A11EF4">
        <w:rPr>
          <w:rFonts w:ascii="Times New Roman" w:hAnsi="Times New Roman"/>
          <w:color w:val="000000"/>
          <w:sz w:val="24"/>
          <w:szCs w:val="24"/>
        </w:rPr>
        <w:t>н</w:t>
      </w:r>
      <w:r w:rsidRPr="00A11EF4">
        <w:rPr>
          <w:rFonts w:ascii="Times New Roman" w:hAnsi="Times New Roman"/>
          <w:color w:val="000000"/>
          <w:sz w:val="24"/>
          <w:szCs w:val="24"/>
        </w:rPr>
        <w:t>ные. Главгосэкспертизой предоставлены только данные Росстата по форме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«Сведения о затр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тах на производство и продажу продукции (товаров, работ, услуг)» за 9 мес. 2016 года и 1 кв. 2017 г. (в сводном виде – Приложение 1 к настоящей работе) и Презентация разработчика нормативов, в общих словах поясняющая алгоритм их расчета.</w:t>
      </w:r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задачи рабочих групп не входит разработка нормативов и конкретно в настоящем Отчете не ставилась задача определения величины нормативов накладных расходов. Изучение статистических и фактических данных призвано лишь показать, насколько нормативы соответствуют ре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лиям строительного рынка. Поэтому оценки в настоящем Отчете носят укрупненный, концепт</w:t>
      </w:r>
      <w:r w:rsidRPr="00A11EF4">
        <w:rPr>
          <w:rFonts w:ascii="Times New Roman" w:hAnsi="Times New Roman"/>
          <w:color w:val="000000"/>
          <w:sz w:val="24"/>
          <w:szCs w:val="24"/>
        </w:rPr>
        <w:t>у</w:t>
      </w:r>
      <w:r w:rsidRPr="00A11EF4">
        <w:rPr>
          <w:rFonts w:ascii="Times New Roman" w:hAnsi="Times New Roman"/>
          <w:color w:val="000000"/>
          <w:sz w:val="24"/>
          <w:szCs w:val="24"/>
        </w:rPr>
        <w:t>альный характер, но они, тем не менее, позволяют сделать вполне однозначные выводы.</w:t>
      </w:r>
    </w:p>
    <w:p w:rsidR="008A5477" w:rsidRPr="00A11EF4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Авторы настоящего Отчета не несут ответственности за исходные данные, предоставле</w:t>
      </w:r>
      <w:r w:rsidRPr="00A11EF4">
        <w:rPr>
          <w:rFonts w:ascii="Times New Roman" w:hAnsi="Times New Roman"/>
          <w:color w:val="000000"/>
          <w:sz w:val="24"/>
          <w:szCs w:val="24"/>
        </w:rPr>
        <w:t>н</w:t>
      </w:r>
      <w:r w:rsidRPr="00A11EF4">
        <w:rPr>
          <w:rFonts w:ascii="Times New Roman" w:hAnsi="Times New Roman"/>
          <w:color w:val="000000"/>
          <w:sz w:val="24"/>
          <w:szCs w:val="24"/>
        </w:rPr>
        <w:t>ные компаниями-участниками опроса.</w:t>
      </w:r>
    </w:p>
    <w:p w:rsidR="008A5477" w:rsidRDefault="008A547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Учитывая специфику и сжатые сроки подготовки компаниями информации, она может с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держать неточности такого же типа, какого обычно возникают при заполнении формы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>. Часть из них исключалась на первом этапе анализа и формирования промеж</w:t>
      </w:r>
      <w:r w:rsidRPr="00A11EF4">
        <w:rPr>
          <w:rFonts w:ascii="Times New Roman" w:hAnsi="Times New Roman"/>
          <w:color w:val="000000"/>
          <w:sz w:val="24"/>
          <w:szCs w:val="24"/>
        </w:rPr>
        <w:t>у</w:t>
      </w:r>
      <w:r w:rsidRPr="00A11EF4">
        <w:rPr>
          <w:rFonts w:ascii="Times New Roman" w:hAnsi="Times New Roman"/>
          <w:color w:val="000000"/>
          <w:sz w:val="24"/>
          <w:szCs w:val="24"/>
        </w:rPr>
        <w:t>точного отчета, часть – на данном этапе, часть будет ликвидирована на следующих этапах. Информация от участников опроса продолжает поступать и уточняться, в связи с чем о</w:t>
      </w:r>
      <w:r w:rsidRPr="00A11EF4">
        <w:rPr>
          <w:rFonts w:ascii="Times New Roman" w:hAnsi="Times New Roman"/>
          <w:color w:val="000000"/>
          <w:sz w:val="24"/>
          <w:szCs w:val="24"/>
        </w:rPr>
        <w:t>т</w:t>
      </w:r>
      <w:r w:rsidRPr="00A11EF4">
        <w:rPr>
          <w:rFonts w:ascii="Times New Roman" w:hAnsi="Times New Roman"/>
          <w:color w:val="000000"/>
          <w:sz w:val="24"/>
          <w:szCs w:val="24"/>
        </w:rPr>
        <w:t>дельные цифры могут варьироваться. Однако, исходя из оценки сводных показателей м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тодами математической статистики, влияние этих неточностей на общие выводы не сущ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ственно.</w:t>
      </w:r>
    </w:p>
    <w:p w:rsidR="0075011A" w:rsidRPr="00A11EF4" w:rsidRDefault="0075011A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5912" w:rsidRPr="0075011A" w:rsidRDefault="00BD5912" w:rsidP="0075011A"/>
    <w:p w:rsidR="00BA7931" w:rsidRPr="00A11EF4" w:rsidRDefault="00BA7931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  <w:sectPr w:rsidR="00BA7931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767" w:rsidRPr="00A11EF4" w:rsidRDefault="00993767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27914216"/>
      <w:r w:rsidRPr="00A11EF4">
        <w:rPr>
          <w:rFonts w:ascii="Times New Roman" w:hAnsi="Times New Roman"/>
          <w:b/>
          <w:color w:val="000000"/>
          <w:sz w:val="28"/>
          <w:szCs w:val="28"/>
        </w:rPr>
        <w:t>Анализ данных Методики определения накладных расходов</w:t>
      </w:r>
      <w:bookmarkEnd w:id="1"/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Согласно п.3.4 и п.3.5 Методики расчет накладных расходов при разработке сметной д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кументации производится по каждому виду работ по следующей формуле:</w:t>
      </w:r>
    </w:p>
    <w:p w:rsidR="00993767" w:rsidRPr="00A11EF4" w:rsidRDefault="00491E3B" w:rsidP="00F538EC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З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Н</m:t>
                </m:r>
              </m:e>
              <m:sub>
                <m:r>
                  <w:rPr>
                    <w:rFonts w:ascii="Cambria Math" w:hAnsi="Cambria Math"/>
                  </w:rPr>
                  <m:t>нр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den>
        </m:f>
      </m:oMath>
      <w:r w:rsidR="00993767" w:rsidRPr="00A11EF4">
        <w:rPr>
          <w:rFonts w:ascii="Times New Roman" w:hAnsi="Times New Roman"/>
          <w:color w:val="000000"/>
          <w:sz w:val="24"/>
          <w:szCs w:val="24"/>
        </w:rPr>
        <w:t>,    где:                                                                                                      [1]</w:t>
      </w:r>
    </w:p>
    <w:p w:rsidR="00993767" w:rsidRPr="00A11EF4" w:rsidRDefault="00993767" w:rsidP="00F538EC">
      <w:pPr>
        <w:pStyle w:val="af2"/>
        <w:spacing w:before="120" w:after="120" w:line="240" w:lineRule="auto"/>
        <w:ind w:firstLine="709"/>
        <w:rPr>
          <w:color w:val="000000"/>
          <w:sz w:val="24"/>
          <w:szCs w:val="24"/>
        </w:rPr>
      </w:pPr>
      <w:r w:rsidRPr="00A11EF4">
        <w:rPr>
          <w:color w:val="000000"/>
          <w:sz w:val="24"/>
          <w:szCs w:val="24"/>
        </w:rPr>
        <w:t>Н</w:t>
      </w:r>
      <w:r w:rsidRPr="00A11EF4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A11EF4">
        <w:rPr>
          <w:color w:val="000000"/>
          <w:sz w:val="24"/>
          <w:szCs w:val="24"/>
        </w:rPr>
        <w:t xml:space="preserve"> – величина накладных расходов (далее – НР) по </w:t>
      </w:r>
      <w:r w:rsidRPr="00A11EF4">
        <w:rPr>
          <w:i/>
          <w:color w:val="000000"/>
          <w:sz w:val="24"/>
          <w:szCs w:val="24"/>
          <w:lang w:val="en-US"/>
        </w:rPr>
        <w:t>i</w:t>
      </w:r>
      <w:r w:rsidRPr="00A11EF4">
        <w:rPr>
          <w:color w:val="000000"/>
          <w:sz w:val="24"/>
          <w:szCs w:val="24"/>
        </w:rPr>
        <w:t xml:space="preserve">-му виду работ, руб.; </w:t>
      </w:r>
      <w:r w:rsidRPr="00A11EF4">
        <w:rPr>
          <w:rStyle w:val="af3"/>
          <w:color w:val="000000"/>
          <w:sz w:val="24"/>
          <w:szCs w:val="24"/>
        </w:rPr>
        <w:t>З</w:t>
      </w:r>
      <w:r w:rsidRPr="00A11EF4">
        <w:rPr>
          <w:rStyle w:val="af3"/>
          <w:i/>
          <w:color w:val="000000"/>
          <w:sz w:val="24"/>
          <w:szCs w:val="24"/>
          <w:vertAlign w:val="subscript"/>
          <w:lang w:val="en-US"/>
        </w:rPr>
        <w:t>i</w:t>
      </w:r>
      <w:r w:rsidRPr="00A11EF4">
        <w:rPr>
          <w:rStyle w:val="af3"/>
          <w:color w:val="000000"/>
          <w:sz w:val="24"/>
          <w:szCs w:val="24"/>
        </w:rPr>
        <w:t xml:space="preserve"> – фонд оплаты труда (далее – ФОТ) рабочих </w:t>
      </w:r>
      <w:r w:rsidRPr="00A11EF4">
        <w:rPr>
          <w:color w:val="000000"/>
          <w:sz w:val="24"/>
          <w:szCs w:val="24"/>
        </w:rPr>
        <w:t>(пусконаладочного персонала)</w:t>
      </w:r>
      <w:r w:rsidRPr="00A11EF4">
        <w:rPr>
          <w:rStyle w:val="af3"/>
          <w:color w:val="000000"/>
          <w:sz w:val="24"/>
          <w:szCs w:val="24"/>
        </w:rPr>
        <w:t xml:space="preserve"> и машинистов по </w:t>
      </w:r>
      <w:r w:rsidRPr="00A11EF4">
        <w:rPr>
          <w:i/>
          <w:color w:val="000000"/>
          <w:sz w:val="24"/>
          <w:szCs w:val="24"/>
          <w:lang w:val="en-US"/>
        </w:rPr>
        <w:t>i</w:t>
      </w:r>
      <w:r w:rsidRPr="00A11EF4">
        <w:rPr>
          <w:color w:val="000000"/>
          <w:sz w:val="24"/>
          <w:szCs w:val="24"/>
        </w:rPr>
        <w:t>-му виду работ, рассчитанный в соответствии с требованиями методики определения сметных цен на строительные ресурсы; Н</w:t>
      </w:r>
      <w:r w:rsidRPr="00A11EF4">
        <w:rPr>
          <w:color w:val="000000"/>
          <w:sz w:val="24"/>
          <w:szCs w:val="24"/>
          <w:vertAlign w:val="subscript"/>
        </w:rPr>
        <w:t>нрi</w:t>
      </w:r>
      <w:r w:rsidRPr="00A11EF4">
        <w:rPr>
          <w:color w:val="000000"/>
          <w:sz w:val="24"/>
          <w:szCs w:val="24"/>
        </w:rPr>
        <w:t> – норматив НР по i-му виду СМР согласно Прилож</w:t>
      </w:r>
      <w:r w:rsidRPr="00A11EF4">
        <w:rPr>
          <w:color w:val="000000"/>
          <w:sz w:val="24"/>
          <w:szCs w:val="24"/>
        </w:rPr>
        <w:t>е</w:t>
      </w:r>
      <w:r w:rsidRPr="00A11EF4">
        <w:rPr>
          <w:color w:val="000000"/>
          <w:sz w:val="24"/>
          <w:szCs w:val="24"/>
        </w:rPr>
        <w:t>нию 3 к Методике, %.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Средний норматив НР по данным Приложения 3 к Методике составляет в завис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мости от вида работ от 74% для обычных условий до 78% для районов Крайнего Севера (таблица 1). Мин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мальное значение – 55%, максимальное для обычных условий – 108%,  для районов Крайнего С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вера – 114%. 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Из 137 видов работ только по 10-15 видам норматив превышает 90%. По основной части работ значения норматива НР ниже 80%. Доверительный интервал для всех районов составляет от 72% до 80%.</w:t>
      </w:r>
    </w:p>
    <w:p w:rsidR="00993767" w:rsidRPr="00A11EF4" w:rsidRDefault="00993767" w:rsidP="00491E3B">
      <w:pPr>
        <w:spacing w:before="120" w:after="12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A11EF4">
        <w:rPr>
          <w:rFonts w:ascii="Times New Roman" w:hAnsi="Times New Roman"/>
          <w:i/>
          <w:color w:val="000000"/>
          <w:sz w:val="24"/>
          <w:szCs w:val="24"/>
        </w:rPr>
        <w:t>Таблица 1. Уровень норматива НР в Методике</w:t>
      </w:r>
    </w:p>
    <w:tbl>
      <w:tblPr>
        <w:tblW w:w="9365" w:type="dxa"/>
        <w:jc w:val="center"/>
        <w:tblLayout w:type="fixed"/>
        <w:tblLook w:val="0000" w:firstRow="0" w:lastRow="0" w:firstColumn="0" w:lastColumn="0" w:noHBand="0" w:noVBand="0"/>
      </w:tblPr>
      <w:tblGrid>
        <w:gridCol w:w="3246"/>
        <w:gridCol w:w="2039"/>
        <w:gridCol w:w="2040"/>
        <w:gridCol w:w="2040"/>
      </w:tblGrid>
      <w:tr w:rsidR="00993767" w:rsidRPr="00A11EF4" w:rsidTr="00F538EC">
        <w:trPr>
          <w:trHeight w:val="227"/>
          <w:tblHeader/>
          <w:jc w:val="center"/>
        </w:trPr>
        <w:tc>
          <w:tcPr>
            <w:tcW w:w="32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Наименование показателей</w:t>
            </w:r>
          </w:p>
        </w:tc>
        <w:tc>
          <w:tcPr>
            <w:tcW w:w="61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Норматив накладных расходов в Приложении 3 к Метод</w:t>
            </w:r>
            <w:r w:rsidRPr="00A11EF4">
              <w:rPr>
                <w:rFonts w:ascii="Times New Roman" w:hAnsi="Times New Roman"/>
                <w:color w:val="000000"/>
              </w:rPr>
              <w:t>и</w:t>
            </w:r>
            <w:r w:rsidRPr="00A11EF4">
              <w:rPr>
                <w:rFonts w:ascii="Times New Roman" w:hAnsi="Times New Roman"/>
                <w:color w:val="000000"/>
              </w:rPr>
              <w:t>ке</w:t>
            </w:r>
          </w:p>
        </w:tc>
      </w:tr>
      <w:tr w:rsidR="00993767" w:rsidRPr="00A11EF4" w:rsidTr="00F538EC">
        <w:trPr>
          <w:trHeight w:val="227"/>
          <w:tblHeader/>
          <w:jc w:val="center"/>
        </w:trPr>
        <w:tc>
          <w:tcPr>
            <w:tcW w:w="32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на территории РФ (кроме Крайнего Севера и приравне</w:t>
            </w:r>
            <w:r w:rsidRPr="00A11EF4">
              <w:rPr>
                <w:rFonts w:ascii="Times New Roman" w:hAnsi="Times New Roman"/>
                <w:color w:val="000000"/>
              </w:rPr>
              <w:t>н</w:t>
            </w:r>
            <w:r w:rsidRPr="00A11EF4">
              <w:rPr>
                <w:rFonts w:ascii="Times New Roman" w:hAnsi="Times New Roman"/>
                <w:color w:val="000000"/>
              </w:rPr>
              <w:t>ных…)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в районах Крайн</w:t>
            </w:r>
            <w:r w:rsidRPr="00A11EF4">
              <w:rPr>
                <w:rFonts w:ascii="Times New Roman" w:hAnsi="Times New Roman"/>
                <w:color w:val="000000"/>
              </w:rPr>
              <w:t>е</w:t>
            </w:r>
            <w:r w:rsidRPr="00A11EF4">
              <w:rPr>
                <w:rFonts w:ascii="Times New Roman" w:hAnsi="Times New Roman"/>
                <w:color w:val="000000"/>
              </w:rPr>
              <w:t>го Севера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в местностях, приравненных к Кра</w:t>
            </w:r>
            <w:r w:rsidRPr="00A11EF4">
              <w:rPr>
                <w:rFonts w:ascii="Times New Roman" w:hAnsi="Times New Roman"/>
                <w:color w:val="000000"/>
              </w:rPr>
              <w:t>й</w:t>
            </w:r>
            <w:r w:rsidRPr="00A11EF4">
              <w:rPr>
                <w:rFonts w:ascii="Times New Roman" w:hAnsi="Times New Roman"/>
                <w:color w:val="000000"/>
              </w:rPr>
              <w:t>нему Северу</w:t>
            </w:r>
          </w:p>
        </w:tc>
      </w:tr>
      <w:tr w:rsidR="00993767" w:rsidRPr="00A11EF4" w:rsidTr="00F538EC">
        <w:trPr>
          <w:trHeight w:val="227"/>
          <w:jc w:val="center"/>
        </w:trPr>
        <w:tc>
          <w:tcPr>
            <w:tcW w:w="3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Минимальное значение, %</w:t>
            </w:r>
          </w:p>
        </w:tc>
        <w:tc>
          <w:tcPr>
            <w:tcW w:w="20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993767" w:rsidRPr="00A11EF4" w:rsidTr="00F538EC">
        <w:trPr>
          <w:trHeight w:val="227"/>
          <w:jc w:val="center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Максимальное значение, %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993767" w:rsidRPr="00A11EF4" w:rsidTr="00F538EC">
        <w:trPr>
          <w:trHeight w:val="227"/>
          <w:jc w:val="center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Среднее значение, %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75</w:t>
            </w:r>
          </w:p>
        </w:tc>
      </w:tr>
      <w:tr w:rsidR="00993767" w:rsidRPr="00A11EF4" w:rsidTr="00F538EC">
        <w:trPr>
          <w:trHeight w:val="227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Доверительный интервал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72 - 76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77 - 80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73 - 77</w:t>
            </w:r>
          </w:p>
        </w:tc>
      </w:tr>
    </w:tbl>
    <w:p w:rsidR="00993767" w:rsidRPr="00A11EF4" w:rsidRDefault="00993767" w:rsidP="00F538EC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По данным Презентации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4"/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разработчика нормативов при формировании последних испол</w:t>
      </w:r>
      <w:r w:rsidRPr="00A11EF4">
        <w:rPr>
          <w:rFonts w:ascii="Times New Roman" w:hAnsi="Times New Roman"/>
          <w:color w:val="000000"/>
          <w:sz w:val="24"/>
          <w:szCs w:val="24"/>
        </w:rPr>
        <w:t>ь</w:t>
      </w:r>
      <w:r w:rsidRPr="00A11EF4">
        <w:rPr>
          <w:rFonts w:ascii="Times New Roman" w:hAnsi="Times New Roman"/>
          <w:color w:val="000000"/>
          <w:sz w:val="24"/>
          <w:szCs w:val="24"/>
        </w:rPr>
        <w:t>зовалась формула: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Общеотраслевой норматив = НР / ФОТ в ПЗ / К</w:t>
      </w:r>
      <w:r w:rsidRPr="00A11EF4">
        <w:rPr>
          <w:rFonts w:ascii="Times New Roman" w:hAnsi="Times New Roman"/>
          <w:color w:val="000000"/>
          <w:sz w:val="24"/>
          <w:szCs w:val="24"/>
        </w:rPr>
        <w:t>, где:                                        [2]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НР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– сумма накладных расходов, включая материалы, заработную плату в составе НР, стр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ховые взносы (в ПФР, ФСС, ФОМС), амортизацию, прочие;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ФОТ в ПЗ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– заработная плата в прямых затратах по форме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" w:name="OLE_LINK5"/>
      <w:bookmarkStart w:id="3" w:name="OLE_LINK6"/>
      <w:r w:rsidRPr="00A11EF4">
        <w:rPr>
          <w:rFonts w:ascii="Times New Roman" w:hAnsi="Times New Roman"/>
          <w:color w:val="000000"/>
          <w:sz w:val="24"/>
          <w:szCs w:val="24"/>
        </w:rPr>
        <w:t>–</w:t>
      </w:r>
      <w:bookmarkEnd w:id="2"/>
      <w:bookmarkEnd w:id="3"/>
      <w:r w:rsidRPr="00A11EF4">
        <w:rPr>
          <w:rFonts w:ascii="Times New Roman" w:hAnsi="Times New Roman"/>
          <w:color w:val="000000"/>
          <w:sz w:val="24"/>
          <w:szCs w:val="24"/>
        </w:rPr>
        <w:t xml:space="preserve"> коэффициент приведения к заработной плате, которая будет учитываться в смете, равный 1,135. Данный коэффициент рассчитан разработчиком со ссылкой на Постановление № 1452 от 23.12.2016 как отношение среднемесячной номинальной заработной платы работников орган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заций по экономике в целом к аналогичному показателю по отрасли «Строительство» по да</w:t>
      </w:r>
      <w:r w:rsidRPr="00A11EF4">
        <w:rPr>
          <w:rFonts w:ascii="Times New Roman" w:hAnsi="Times New Roman"/>
          <w:color w:val="000000"/>
          <w:sz w:val="24"/>
          <w:szCs w:val="24"/>
        </w:rPr>
        <w:t>н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ным за 2016 год. 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Общеотраслевой норматив составил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согласно Презентации 80%.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При формировании на основе формы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накладных расходов разработчик включил в их сумму следующие доли затрат на производство и реализацию продукции:</w:t>
      </w:r>
    </w:p>
    <w:p w:rsidR="00993767" w:rsidRPr="00A11EF4" w:rsidRDefault="00993767" w:rsidP="00F538EC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материальные затраты – 0,49% от себестоимости;</w:t>
      </w:r>
    </w:p>
    <w:p w:rsidR="00993767" w:rsidRPr="00A11EF4" w:rsidRDefault="00993767" w:rsidP="00F538EC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затраты на оплату труда – 24,83%;</w:t>
      </w:r>
    </w:p>
    <w:p w:rsidR="00993767" w:rsidRPr="00A11EF4" w:rsidRDefault="00993767" w:rsidP="00F538EC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страховые взносы в ПФР, ФСС, ФОМС – 100%;</w:t>
      </w:r>
    </w:p>
    <w:p w:rsidR="00993767" w:rsidRPr="00A11EF4" w:rsidRDefault="00993767" w:rsidP="00F538EC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амортизация основных средств – 0,17% от себестоимости;</w:t>
      </w:r>
    </w:p>
    <w:p w:rsidR="00993767" w:rsidRPr="00A11EF4" w:rsidRDefault="00993767" w:rsidP="00F538EC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прочие затраты – 35%.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Из состава «Прочих затрат» разработчиком исключены в полном объеме статьи «Арендная плата» и «Другие затраты». 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Таким образом, в составе «Прочих затрат» формы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остались для расчета норм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тива НР следующие статьи: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амортизация нематериальных активов</w:t>
      </w:r>
      <w:r w:rsidRPr="00A11EF4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обязательные страховые платежи</w:t>
      </w:r>
      <w:r w:rsidRPr="00A11EF4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добровольные страховые платежи</w:t>
      </w:r>
      <w:r w:rsidRPr="00A11EF4">
        <w:rPr>
          <w:rFonts w:ascii="Times New Roman" w:hAnsi="Times New Roman"/>
          <w:color w:val="000000"/>
          <w:sz w:val="24"/>
          <w:szCs w:val="24"/>
          <w:lang w:val="en-US"/>
        </w:rPr>
        <w:t>;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представительские расходы</w:t>
      </w:r>
      <w:r w:rsidRPr="00A11EF4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суточные и подъёмные</w:t>
      </w:r>
      <w:r w:rsidRPr="00A11EF4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налоги и сборы, включаемые в себестоимость продукции (работ, услуг);</w:t>
      </w:r>
    </w:p>
    <w:p w:rsidR="00993767" w:rsidRPr="00A11EF4" w:rsidRDefault="00993767" w:rsidP="00F538EC">
      <w:pPr>
        <w:numPr>
          <w:ilvl w:val="0"/>
          <w:numId w:val="7"/>
        </w:numPr>
        <w:tabs>
          <w:tab w:val="clear" w:pos="107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расходы по оплате  прочих услуг непроизводственного характера, выполненных ст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ронними организациями.</w:t>
      </w:r>
    </w:p>
    <w:p w:rsidR="00993767" w:rsidRPr="00A11EF4" w:rsidRDefault="00993767" w:rsidP="00F538EC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Исходя из приведенных в Презентации пояснений, произведен укрупненный пр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верочный расчет норматива НР по данным формы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(стр. «Российская Федерация» – Приложение 1 к н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стоящей работе), результаты которого представлены в таблице 2.</w:t>
      </w:r>
    </w:p>
    <w:p w:rsidR="00993767" w:rsidRPr="00A11EF4" w:rsidRDefault="00993767" w:rsidP="00491E3B">
      <w:pPr>
        <w:spacing w:before="120" w:after="12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A11EF4">
        <w:rPr>
          <w:rFonts w:ascii="Times New Roman" w:hAnsi="Times New Roman"/>
          <w:i/>
          <w:color w:val="000000"/>
          <w:sz w:val="24"/>
          <w:szCs w:val="24"/>
        </w:rPr>
        <w:t>Таблица 2. Укрупненный расчет нормативов НР по данным Презентации разр</w:t>
      </w:r>
      <w:r w:rsidRPr="00A11EF4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i/>
          <w:color w:val="000000"/>
          <w:sz w:val="24"/>
          <w:szCs w:val="24"/>
        </w:rPr>
        <w:t>ботчика</w:t>
      </w:r>
    </w:p>
    <w:tbl>
      <w:tblPr>
        <w:tblW w:w="946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2"/>
        <w:gridCol w:w="3518"/>
        <w:gridCol w:w="900"/>
        <w:gridCol w:w="920"/>
        <w:gridCol w:w="921"/>
        <w:gridCol w:w="920"/>
        <w:gridCol w:w="921"/>
        <w:gridCol w:w="921"/>
      </w:tblGrid>
      <w:tr w:rsidR="00993767" w:rsidRPr="00A11EF4" w:rsidTr="00C946DA">
        <w:trPr>
          <w:trHeight w:val="227"/>
          <w:tblHeader/>
        </w:trPr>
        <w:tc>
          <w:tcPr>
            <w:tcW w:w="4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51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Наименование показателей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Затраты на произв</w:t>
            </w:r>
            <w:r w:rsidRPr="00A11EF4">
              <w:rPr>
                <w:rFonts w:ascii="Times New Roman" w:hAnsi="Times New Roman"/>
                <w:color w:val="000000"/>
              </w:rPr>
              <w:t>о</w:t>
            </w:r>
            <w:r w:rsidRPr="00A11EF4">
              <w:rPr>
                <w:rFonts w:ascii="Times New Roman" w:hAnsi="Times New Roman"/>
                <w:color w:val="000000"/>
              </w:rPr>
              <w:t>дство проду</w:t>
            </w:r>
            <w:r w:rsidRPr="00A11EF4">
              <w:rPr>
                <w:rFonts w:ascii="Times New Roman" w:hAnsi="Times New Roman"/>
                <w:color w:val="000000"/>
              </w:rPr>
              <w:t>к</w:t>
            </w:r>
            <w:r w:rsidRPr="00A11EF4">
              <w:rPr>
                <w:rFonts w:ascii="Times New Roman" w:hAnsi="Times New Roman"/>
                <w:color w:val="000000"/>
              </w:rPr>
              <w:t xml:space="preserve">ции </w:t>
            </w:r>
          </w:p>
        </w:tc>
        <w:tc>
          <w:tcPr>
            <w:tcW w:w="460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993767" w:rsidRPr="00A11EF4" w:rsidTr="00C946DA">
        <w:trPr>
          <w:trHeight w:val="227"/>
          <w:tblHeader/>
        </w:trPr>
        <w:tc>
          <w:tcPr>
            <w:tcW w:w="4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Матер</w:t>
            </w:r>
            <w:r w:rsidRPr="00A11EF4">
              <w:rPr>
                <w:rFonts w:ascii="Times New Roman" w:hAnsi="Times New Roman"/>
                <w:color w:val="000000"/>
              </w:rPr>
              <w:t>и</w:t>
            </w:r>
            <w:r w:rsidRPr="00A11EF4">
              <w:rPr>
                <w:rFonts w:ascii="Times New Roman" w:hAnsi="Times New Roman"/>
                <w:color w:val="000000"/>
              </w:rPr>
              <w:t>альные затраты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Затраты на опл</w:t>
            </w:r>
            <w:r w:rsidRPr="00A11EF4">
              <w:rPr>
                <w:rFonts w:ascii="Times New Roman" w:hAnsi="Times New Roman"/>
                <w:color w:val="000000"/>
              </w:rPr>
              <w:t>а</w:t>
            </w:r>
            <w:r w:rsidRPr="00A11EF4">
              <w:rPr>
                <w:rFonts w:ascii="Times New Roman" w:hAnsi="Times New Roman"/>
                <w:color w:val="000000"/>
              </w:rPr>
              <w:t>ту труда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Страх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вые взн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сы в</w:t>
            </w:r>
            <w:r w:rsidRPr="00A11EF4">
              <w:rPr>
                <w:rFonts w:ascii="Times New Roman" w:hAnsi="Times New Roman"/>
                <w:color w:val="000000"/>
              </w:rPr>
              <w:t xml:space="preserve"> ПФ, ФСС, ФОМС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Аморт</w:t>
            </w:r>
            <w:r w:rsidRPr="00A11EF4">
              <w:rPr>
                <w:rFonts w:ascii="Times New Roman" w:hAnsi="Times New Roman"/>
                <w:color w:val="000000"/>
              </w:rPr>
              <w:t>и</w:t>
            </w:r>
            <w:r w:rsidRPr="00A11EF4">
              <w:rPr>
                <w:rFonts w:ascii="Times New Roman" w:hAnsi="Times New Roman"/>
                <w:color w:val="000000"/>
              </w:rPr>
              <w:t>зация осно</w:t>
            </w:r>
            <w:r w:rsidRPr="00A11EF4">
              <w:rPr>
                <w:rFonts w:ascii="Times New Roman" w:hAnsi="Times New Roman"/>
                <w:color w:val="000000"/>
              </w:rPr>
              <w:t>в</w:t>
            </w:r>
            <w:r w:rsidRPr="00A11EF4">
              <w:rPr>
                <w:rFonts w:ascii="Times New Roman" w:hAnsi="Times New Roman"/>
                <w:color w:val="000000"/>
              </w:rPr>
              <w:t>ных средств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Прочие затраты</w:t>
            </w: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A11EF4">
              <w:rPr>
                <w:rFonts w:ascii="Times New Roman" w:hAnsi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Расчет норматива</w:t>
            </w:r>
            <w:r w:rsidRPr="00A11EF4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Затраты по форме 5-</w:t>
            </w:r>
            <w:r w:rsidR="002A48A6" w:rsidRPr="00A11EF4">
              <w:rPr>
                <w:rFonts w:ascii="Times New Roman" w:hAnsi="Times New Roman"/>
                <w:color w:val="000000"/>
              </w:rPr>
              <w:t>з</w:t>
            </w:r>
            <w:r w:rsidRPr="00A11EF4">
              <w:rPr>
                <w:rFonts w:ascii="Times New Roman" w:hAnsi="Times New Roman"/>
                <w:color w:val="000000"/>
              </w:rPr>
              <w:t>, 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1 920 811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1 182 141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407 296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112 742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62 531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156 101</w:t>
            </w: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База для расчета НР согласно</w:t>
            </w:r>
            <w:bookmarkStart w:id="4" w:name="OLE_LINK3"/>
            <w:bookmarkStart w:id="5" w:name="OLE_LINK4"/>
            <w:r w:rsidRPr="00A11EF4">
              <w:rPr>
                <w:rFonts w:ascii="Times New Roman" w:hAnsi="Times New Roman"/>
                <w:color w:val="000000"/>
              </w:rPr>
              <w:t xml:space="preserve"> Пр</w:t>
            </w:r>
            <w:r w:rsidRPr="00A11EF4">
              <w:rPr>
                <w:rFonts w:ascii="Times New Roman" w:hAnsi="Times New Roman"/>
                <w:color w:val="000000"/>
              </w:rPr>
              <w:t>е</w:t>
            </w:r>
            <w:r w:rsidRPr="00A11EF4">
              <w:rPr>
                <w:rFonts w:ascii="Times New Roman" w:hAnsi="Times New Roman"/>
                <w:color w:val="000000"/>
              </w:rPr>
              <w:t>зентации</w:t>
            </w:r>
            <w:bookmarkEnd w:id="4"/>
            <w:bookmarkEnd w:id="5"/>
            <w:r w:rsidRPr="00A11EF4">
              <w:rPr>
                <w:rFonts w:ascii="Times New Roman" w:hAnsi="Times New Roman"/>
                <w:color w:val="000000"/>
              </w:rPr>
              <w:t>, млн. руб.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1 920 811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407 296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112 742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1 920 811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156 101</w:t>
            </w: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Доли затрат, относимых на НР, с</w:t>
            </w:r>
            <w:r w:rsidRPr="00A11EF4">
              <w:rPr>
                <w:rFonts w:ascii="Times New Roman" w:hAnsi="Times New Roman"/>
                <w:color w:val="000000"/>
              </w:rPr>
              <w:t>о</w:t>
            </w:r>
            <w:r w:rsidRPr="00A11EF4">
              <w:rPr>
                <w:rFonts w:ascii="Times New Roman" w:hAnsi="Times New Roman"/>
                <w:color w:val="000000"/>
              </w:rPr>
              <w:t>гласно Презентации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0,49%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24,83%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0,17%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35%</w:t>
            </w: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 xml:space="preserve">Итого составляющие НР </w:t>
            </w:r>
          </w:p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(п.2 х п.3), млн. руб.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9 412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101 132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112 742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3 265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54 635</w:t>
            </w: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Сумма НР, 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281 186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ФОТ, относимый на ПЗ (п.1 - п.4)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306 165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 xml:space="preserve">Общеотраслевой норматив НР </w:t>
            </w:r>
          </w:p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 xml:space="preserve">(п.5 / п.6 / 1,135 х 100% согласно </w:t>
            </w:r>
          </w:p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формуле [2])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81%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A11EF4">
              <w:rPr>
                <w:rFonts w:ascii="Times New Roman" w:hAnsi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11EF4">
              <w:rPr>
                <w:rFonts w:ascii="Times New Roman" w:hAnsi="Times New Roman"/>
                <w:b/>
                <w:color w:val="000000"/>
              </w:rPr>
              <w:t>Суммарный ФОТ</w:t>
            </w:r>
            <w:r w:rsidRPr="00A11EF4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ФОТ в НР (п.4)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101 132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ФОТ в ПЗ (п.6)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306 165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ФОТ в ПЗ с коэффициентом К=1,135 (п.9 х 1,135) - следует из содержания коэффициента и фо</w:t>
            </w:r>
            <w:r w:rsidRPr="00A11EF4">
              <w:rPr>
                <w:rFonts w:ascii="Times New Roman" w:hAnsi="Times New Roman"/>
                <w:color w:val="000000"/>
              </w:rPr>
              <w:t>р</w:t>
            </w:r>
            <w:r w:rsidRPr="00A11EF4">
              <w:rPr>
                <w:rFonts w:ascii="Times New Roman" w:hAnsi="Times New Roman"/>
                <w:color w:val="000000"/>
              </w:rPr>
              <w:t>мулы [2]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347 497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Итого суммарный ФОТ (п.8 + п.10)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448 629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Доля в общей сумме ФОТ: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ФОТ в НР (п.8 / п.11 х 100%)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767" w:rsidRPr="00A11EF4" w:rsidTr="00C946DA">
        <w:trPr>
          <w:trHeight w:val="2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ФОТ в ПЗ (п.10 / п.11 х 100%)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3767" w:rsidRPr="00A11EF4" w:rsidRDefault="00993767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93767" w:rsidRPr="00A11EF4" w:rsidRDefault="00993767" w:rsidP="00993767">
      <w:pPr>
        <w:spacing w:before="240" w:after="12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Полученная величина норматива НР почти равна уровню, заявленному в Презент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ции разработчиков – 80%, – и находится почти на уровне верхнего значения  доверител</w:t>
      </w:r>
      <w:r w:rsidRPr="00A11EF4">
        <w:rPr>
          <w:rFonts w:ascii="Times New Roman" w:hAnsi="Times New Roman"/>
          <w:color w:val="000000"/>
          <w:sz w:val="24"/>
          <w:szCs w:val="24"/>
        </w:rPr>
        <w:t>ь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ного интервала нормативов НР в Методике – от 72-76% на территории РФ и 77-80% для районов Крайнего Севера (таблица 1). 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Анализ порядка расчета среднеотраслевого норматива показал: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1. В числителе формулы [2] занижена заработная плата, относимая на НР.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Применение коэффициента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приведения зарплаты в строительной отрасли к сре</w:t>
      </w:r>
      <w:r w:rsidRPr="00A11EF4">
        <w:rPr>
          <w:rFonts w:ascii="Times New Roman" w:hAnsi="Times New Roman"/>
          <w:color w:val="000000"/>
          <w:sz w:val="24"/>
          <w:szCs w:val="24"/>
        </w:rPr>
        <w:t>д</w:t>
      </w:r>
      <w:r w:rsidRPr="00A11EF4">
        <w:rPr>
          <w:rFonts w:ascii="Times New Roman" w:hAnsi="Times New Roman"/>
          <w:color w:val="000000"/>
          <w:sz w:val="24"/>
          <w:szCs w:val="24"/>
        </w:rPr>
        <w:t>ней по экономике согласно формуле [2] привело к увеличению ее знаменателя, не затр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нув числитель. В результате оказалась искусственно занижена заработная плата персонала, относимая на НР, а эл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менты структуры норматива НР – несопоставимы между собой.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Согласно Приказу Минстроя от 20.12.2016 № 1000-пр для расчета сметной цены на затр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ты труда в строительстве принимается усредненное значение показателей заработной платы р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ботников по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субъекту РФ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(п.3.2 методики), а не по отрасли. Постановление №1452 от 23.12.2016 «О мониторинге цен строительных ресурсов» также не предусматр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вает деление цен на затраты труда</w:t>
      </w:r>
      <w:r w:rsidR="00933BDA" w:rsidRPr="00A11EF4">
        <w:rPr>
          <w:rFonts w:ascii="Times New Roman" w:hAnsi="Times New Roman"/>
          <w:color w:val="000000"/>
          <w:sz w:val="24"/>
          <w:szCs w:val="24"/>
        </w:rPr>
        <w:t xml:space="preserve"> в смете на те, которые рассчитываются по отраслевому фактору, и те, которые рассчитываются по региональному фактору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. По Постановлению №1452 </w:t>
      </w:r>
      <w:r w:rsidRPr="00A11EF4">
        <w:rPr>
          <w:rFonts w:ascii="Times New Roman" w:hAnsi="Times New Roman"/>
          <w:color w:val="000000"/>
          <w:spacing w:val="1"/>
          <w:sz w:val="24"/>
          <w:szCs w:val="24"/>
        </w:rPr>
        <w:t>подле</w:t>
      </w:r>
      <w:r w:rsidR="00933BDA" w:rsidRPr="00A11EF4">
        <w:rPr>
          <w:rFonts w:ascii="Times New Roman" w:hAnsi="Times New Roman"/>
          <w:color w:val="000000"/>
          <w:spacing w:val="1"/>
          <w:sz w:val="24"/>
          <w:szCs w:val="24"/>
        </w:rPr>
        <w:t>жи</w:t>
      </w:r>
      <w:r w:rsidRPr="00A11EF4">
        <w:rPr>
          <w:rFonts w:ascii="Times New Roman" w:hAnsi="Times New Roman"/>
          <w:color w:val="000000"/>
          <w:spacing w:val="1"/>
          <w:sz w:val="24"/>
          <w:szCs w:val="24"/>
        </w:rPr>
        <w:t xml:space="preserve">т размещению во ФГИС ЦС среднемесячная номинальная начисленная заработная плата работников по </w:t>
      </w:r>
      <w:r w:rsidRPr="00A11EF4">
        <w:rPr>
          <w:rFonts w:ascii="Times New Roman" w:hAnsi="Times New Roman"/>
          <w:b/>
          <w:color w:val="000000"/>
          <w:spacing w:val="1"/>
          <w:sz w:val="24"/>
          <w:szCs w:val="24"/>
        </w:rPr>
        <w:t>субъе</w:t>
      </w:r>
      <w:r w:rsidRPr="00A11EF4">
        <w:rPr>
          <w:rFonts w:ascii="Times New Roman" w:hAnsi="Times New Roman"/>
          <w:b/>
          <w:color w:val="000000"/>
          <w:spacing w:val="1"/>
          <w:sz w:val="24"/>
          <w:szCs w:val="24"/>
        </w:rPr>
        <w:t>к</w:t>
      </w:r>
      <w:r w:rsidRPr="00A11EF4">
        <w:rPr>
          <w:rFonts w:ascii="Times New Roman" w:hAnsi="Times New Roman"/>
          <w:b/>
          <w:color w:val="000000"/>
          <w:spacing w:val="1"/>
          <w:sz w:val="24"/>
          <w:szCs w:val="24"/>
        </w:rPr>
        <w:t>там</w:t>
      </w:r>
      <w:r w:rsidRPr="00A11EF4">
        <w:rPr>
          <w:rFonts w:ascii="Times New Roman" w:hAnsi="Times New Roman"/>
          <w:color w:val="000000"/>
          <w:spacing w:val="1"/>
          <w:sz w:val="24"/>
          <w:szCs w:val="24"/>
        </w:rPr>
        <w:t xml:space="preserve"> РФ.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Тем не менее, в нормативе НР имеет место оплата труда, оцененная как на уровне экон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мики в целом, так и на отраслевом уровне. </w:t>
      </w:r>
    </w:p>
    <w:p w:rsidR="003668D6" w:rsidRPr="00A11EF4" w:rsidRDefault="00126F78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2. В целом, взаимосвязь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массы заработной платы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в анализируемой разработчиком форме 5-з с данными статистики о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среднемесячной заработной плат</w:t>
      </w:r>
      <w:r w:rsidR="002A48A6" w:rsidRPr="00A11EF4">
        <w:rPr>
          <w:rFonts w:ascii="Times New Roman" w:hAnsi="Times New Roman"/>
          <w:b/>
          <w:color w:val="000000"/>
          <w:sz w:val="24"/>
          <w:szCs w:val="24"/>
        </w:rPr>
        <w:t xml:space="preserve">е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по отрасли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далеко не очевидна. Данные статистики по среднемесячной заработной плате и по форме 5-з могут учитывать разные выборки и источники, </w:t>
      </w:r>
      <w:r w:rsidR="006D5723" w:rsidRPr="00A11EF4">
        <w:rPr>
          <w:rFonts w:ascii="Times New Roman" w:hAnsi="Times New Roman"/>
          <w:color w:val="000000"/>
          <w:sz w:val="24"/>
          <w:szCs w:val="24"/>
        </w:rPr>
        <w:t xml:space="preserve">они </w:t>
      </w:r>
      <w:r w:rsidRPr="00A11EF4">
        <w:rPr>
          <w:rFonts w:ascii="Times New Roman" w:hAnsi="Times New Roman"/>
          <w:color w:val="000000"/>
          <w:sz w:val="24"/>
          <w:szCs w:val="24"/>
        </w:rPr>
        <w:t>приведены за различные периоды (что существенно для заработной платы, выплачива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емой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неравномерно по году </w:t>
      </w:r>
      <w:r w:rsidR="00160F55" w:rsidRPr="00A11EF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11EF4">
        <w:rPr>
          <w:rFonts w:ascii="Times New Roman" w:hAnsi="Times New Roman"/>
          <w:color w:val="000000"/>
          <w:sz w:val="24"/>
          <w:szCs w:val="24"/>
        </w:rPr>
        <w:t>с основной массой выплат в 4 квартале, данные по которому в форму 5-з не попа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дают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3668D6" w:rsidRPr="00A11EF4" w:rsidRDefault="003668D6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Норма накладных расходов, сформированная по данным 5-з, отражает соотношение массы накладных расходов и массы заработной платы в составе прямых затрат в рамках отрасли. </w:t>
      </w:r>
      <w:r w:rsidR="00160F55" w:rsidRPr="00A11EF4">
        <w:rPr>
          <w:rFonts w:ascii="Times New Roman" w:hAnsi="Times New Roman"/>
          <w:color w:val="000000"/>
          <w:sz w:val="24"/>
          <w:szCs w:val="24"/>
        </w:rPr>
        <w:t>Н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ормирование уровня оплаты труда происходит по определенным правилам, а масса сметной заработной платы служит базой для применения нормы и </w:t>
      </w:r>
      <w:r w:rsidR="00160F55" w:rsidRPr="00A11EF4">
        <w:rPr>
          <w:rFonts w:ascii="Times New Roman" w:hAnsi="Times New Roman"/>
          <w:color w:val="000000"/>
          <w:sz w:val="24"/>
          <w:szCs w:val="24"/>
        </w:rPr>
        <w:t xml:space="preserve">расчета </w:t>
      </w:r>
      <w:r w:rsidRPr="00A11EF4">
        <w:rPr>
          <w:rFonts w:ascii="Times New Roman" w:hAnsi="Times New Roman"/>
          <w:color w:val="000000"/>
          <w:sz w:val="24"/>
          <w:szCs w:val="24"/>
        </w:rPr>
        <w:t>накладных расходов. То есть сначала определяется норма, а потом она применяется уже в конкретных условиях.</w:t>
      </w:r>
    </w:p>
    <w:p w:rsidR="00126F78" w:rsidRPr="00A11EF4" w:rsidRDefault="00126F78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Таким образом, применение коэффициента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6D5723" w:rsidRPr="00A11EF4">
        <w:rPr>
          <w:rFonts w:ascii="Times New Roman" w:hAnsi="Times New Roman"/>
          <w:color w:val="000000"/>
          <w:sz w:val="24"/>
          <w:szCs w:val="24"/>
        </w:rPr>
        <w:t xml:space="preserve"> некорректно, так как вносит в методику расчета норматива влияние порядка определения базы для его использования при </w:t>
      </w:r>
      <w:r w:rsidR="00160F55" w:rsidRPr="00A11EF4">
        <w:rPr>
          <w:rFonts w:ascii="Times New Roman" w:hAnsi="Times New Roman"/>
          <w:color w:val="000000"/>
          <w:sz w:val="24"/>
          <w:szCs w:val="24"/>
        </w:rPr>
        <w:t>формировании</w:t>
      </w:r>
      <w:r w:rsidR="006D5723" w:rsidRPr="00A11EF4">
        <w:rPr>
          <w:rFonts w:ascii="Times New Roman" w:hAnsi="Times New Roman"/>
          <w:color w:val="000000"/>
          <w:sz w:val="24"/>
          <w:szCs w:val="24"/>
        </w:rPr>
        <w:t xml:space="preserve"> стоимости.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3. Необоснованно в числителе формулы [2] занижена доля расходов, не связанных с опл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той труда.</w:t>
      </w:r>
    </w:p>
    <w:p w:rsidR="00993767" w:rsidRPr="00A11EF4" w:rsidRDefault="00993767" w:rsidP="00551095">
      <w:pPr>
        <w:tabs>
          <w:tab w:val="left" w:pos="1080"/>
        </w:tabs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числитель формулы [2] не вошли затраты, предусмотренные Приложением 2 к Методике. Из «Прочих затрат» по форме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полностью исключена графа «Другие затр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ты», вследствие чего «Прочие затраты», которые надо было принять для расчета норматива по форме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>, знач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тельно сокращены и не учитывают такие затраты, как: </w:t>
      </w:r>
    </w:p>
    <w:p w:rsidR="00993767" w:rsidRPr="00A11EF4" w:rsidRDefault="00993767" w:rsidP="00F15372">
      <w:pPr>
        <w:numPr>
          <w:ilvl w:val="1"/>
          <w:numId w:val="9"/>
        </w:numPr>
        <w:tabs>
          <w:tab w:val="clear" w:pos="2149"/>
          <w:tab w:val="left" w:pos="1080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расходы на содержание, эксплуатацию, ремонт занимаемых АУП зданий и с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оружений, служебного автотранспорта, административно-хозяйственные расходы,  </w:t>
      </w:r>
    </w:p>
    <w:p w:rsidR="00993767" w:rsidRPr="00A11EF4" w:rsidRDefault="00993767" w:rsidP="00993767">
      <w:pPr>
        <w:numPr>
          <w:ilvl w:val="1"/>
          <w:numId w:val="9"/>
        </w:numPr>
        <w:tabs>
          <w:tab w:val="clear" w:pos="2149"/>
          <w:tab w:val="left" w:pos="1080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расходы по обслуживанию работников строительства, </w:t>
      </w:r>
    </w:p>
    <w:p w:rsidR="00993767" w:rsidRPr="00A11EF4" w:rsidRDefault="00993767" w:rsidP="00993767">
      <w:pPr>
        <w:numPr>
          <w:ilvl w:val="1"/>
          <w:numId w:val="9"/>
        </w:numPr>
        <w:tabs>
          <w:tab w:val="clear" w:pos="2149"/>
          <w:tab w:val="left" w:pos="1080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значительную часть расходов на организацию работ на строительных площа</w:t>
      </w:r>
      <w:r w:rsidRPr="00A11EF4">
        <w:rPr>
          <w:rFonts w:ascii="Times New Roman" w:hAnsi="Times New Roman"/>
          <w:color w:val="000000"/>
          <w:sz w:val="24"/>
          <w:szCs w:val="24"/>
        </w:rPr>
        <w:t>д</w:t>
      </w:r>
      <w:r w:rsidRPr="00A11EF4">
        <w:rPr>
          <w:rFonts w:ascii="Times New Roman" w:hAnsi="Times New Roman"/>
          <w:color w:val="000000"/>
          <w:sz w:val="24"/>
          <w:szCs w:val="24"/>
        </w:rPr>
        <w:t>ках.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Если по действующему МДС 81-33.2004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5"/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доля затрат на оплату труда и страховых взносов составляет в НР около 70% (25,99+4,99%+39,58%, Приложение 8 к МДС),  то в предлагаемом ра</w:t>
      </w:r>
      <w:r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>работчиками нормативе эта доля составляет уже 76%. Доля прочих, не связанных с оплатой труда, затрат уменьшилась в нормативе НР с 30% до 24%. Если пр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вести в сопоставимый вид оплату труда в числителе и знаменателе формулы [2], а также пересчитать страховые взносы на увелич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ние общего ФОТ, доля прочих затрат в НР уменьшится уже до 22%.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Вместе с тем, как показал анализ фактических данных, на практике н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блюдаются противоположные тенденции – значительное  сокращение в НР доли оплаты труда и страховых взносов и рост доли затрат, связанных с правовыми, финансовыми факторами, с пов</w:t>
      </w:r>
      <w:r w:rsidRPr="00A11EF4">
        <w:rPr>
          <w:rFonts w:ascii="Times New Roman" w:hAnsi="Times New Roman"/>
          <w:color w:val="000000"/>
          <w:sz w:val="24"/>
          <w:szCs w:val="24"/>
        </w:rPr>
        <w:t>ы</w:t>
      </w:r>
      <w:r w:rsidRPr="00A11EF4">
        <w:rPr>
          <w:rFonts w:ascii="Times New Roman" w:hAnsi="Times New Roman"/>
          <w:color w:val="000000"/>
          <w:sz w:val="24"/>
          <w:szCs w:val="24"/>
        </w:rPr>
        <w:t>шением требований к ТБ и ОТ, качеству строительной продукции и т.п.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4. Значительно занижена в целом величина норматива за счет необоснованного завыш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ния знаменателя формулы [2].</w:t>
      </w:r>
    </w:p>
    <w:p w:rsidR="00993767" w:rsidRPr="00A11EF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Согласно п.3.4 и п.3.5 Методики норматив НР должен умножаться на ФОТ рабочих в строительстве и машинистов</w:t>
      </w:r>
      <w:r w:rsidR="00D3594D" w:rsidRPr="00A11EF4">
        <w:rPr>
          <w:rFonts w:ascii="Times New Roman" w:hAnsi="Times New Roman"/>
          <w:color w:val="000000"/>
          <w:sz w:val="24"/>
          <w:szCs w:val="24"/>
        </w:rPr>
        <w:t>, включая водителей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6"/>
      </w:r>
      <w:r w:rsidR="00D3594D" w:rsidRPr="00A11EF4">
        <w:rPr>
          <w:rFonts w:ascii="Times New Roman" w:hAnsi="Times New Roman"/>
          <w:color w:val="000000"/>
          <w:sz w:val="24"/>
          <w:szCs w:val="24"/>
        </w:rPr>
        <w:t>,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(далее –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основных рабочих</w:t>
      </w:r>
      <w:r w:rsidRPr="00A11EF4">
        <w:rPr>
          <w:rFonts w:ascii="Times New Roman" w:hAnsi="Times New Roman"/>
          <w:color w:val="000000"/>
          <w:sz w:val="24"/>
          <w:szCs w:val="24"/>
        </w:rPr>
        <w:t>). Однако рассчитан сам норматив, и</w:t>
      </w:r>
      <w:r w:rsidRPr="00A11EF4">
        <w:rPr>
          <w:rFonts w:ascii="Times New Roman" w:hAnsi="Times New Roman"/>
          <w:color w:val="000000"/>
          <w:sz w:val="24"/>
          <w:szCs w:val="24"/>
        </w:rPr>
        <w:t>с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ходя не из ФОТ основных рабочих. </w:t>
      </w:r>
    </w:p>
    <w:p w:rsidR="00993767" w:rsidRPr="00145214" w:rsidRDefault="00993767" w:rsidP="00551095">
      <w:pPr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Доля ФОТ, принятого для расчета среднеотраслевого норматива НР в знаменателе формулы [2], составляет от суммарного ФОТ 77% (п.13 таблицы 2). Это, как видно из следующих разд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лов Отчета, на треть выше доли затрат на оплату труда рабочих в целом 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7777E9" w:rsidRPr="00145214">
        <w:rPr>
          <w:rFonts w:ascii="Times New Roman" w:hAnsi="Times New Roman"/>
          <w:color w:val="000000"/>
          <w:sz w:val="24"/>
          <w:szCs w:val="24"/>
        </w:rPr>
        <w:t xml:space="preserve">около </w:t>
      </w:r>
      <w:r w:rsidR="004F46EB" w:rsidRPr="00145214">
        <w:rPr>
          <w:rFonts w:ascii="Times New Roman" w:hAnsi="Times New Roman"/>
          <w:color w:val="000000"/>
          <w:sz w:val="24"/>
          <w:szCs w:val="24"/>
        </w:rPr>
        <w:t>60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 – и более чем в полтора раза выше доли затрат на оплату труда основных рабочих – </w:t>
      </w:r>
      <w:r w:rsidR="007777E9" w:rsidRPr="00145214">
        <w:rPr>
          <w:rFonts w:ascii="Times New Roman" w:hAnsi="Times New Roman"/>
          <w:color w:val="000000"/>
          <w:sz w:val="24"/>
          <w:szCs w:val="24"/>
        </w:rPr>
        <w:t xml:space="preserve">около </w:t>
      </w:r>
      <w:r w:rsidR="004F46EB" w:rsidRPr="00145214">
        <w:rPr>
          <w:rFonts w:ascii="Times New Roman" w:hAnsi="Times New Roman"/>
          <w:color w:val="000000"/>
          <w:sz w:val="24"/>
          <w:szCs w:val="24"/>
        </w:rPr>
        <w:t>50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 – в суммарном ФОТ. </w:t>
      </w:r>
    </w:p>
    <w:p w:rsidR="00993767" w:rsidRPr="00145214" w:rsidRDefault="00993767" w:rsidP="00551095">
      <w:pPr>
        <w:spacing w:before="60" w:after="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Как следствие, в соответствующем размере занижена величина среднеотраслевого норматива НР и она по показателю ФОТ не сопоставима с базой, от которой должны рассчитываться н</w:t>
      </w: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color w:val="000000"/>
          <w:sz w:val="24"/>
          <w:szCs w:val="24"/>
        </w:rPr>
        <w:t>кладные расходы в смете – оплатой труда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 основных рабочих.</w:t>
      </w:r>
    </w:p>
    <w:p w:rsidR="00993767" w:rsidRPr="00A11EF4" w:rsidRDefault="00993767" w:rsidP="00993767">
      <w:pPr>
        <w:tabs>
          <w:tab w:val="left" w:pos="1080"/>
        </w:tabs>
        <w:spacing w:before="120" w:after="12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Таким образом, порядок формирования и полученная на его основе величина среднеотраслевого норматива НР в предлагаемой Методике не соответствуют ее целям и полож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ниям.</w:t>
      </w:r>
    </w:p>
    <w:p w:rsidR="00993767" w:rsidRPr="00A11EF4" w:rsidRDefault="00993767" w:rsidP="00551095">
      <w:pPr>
        <w:tabs>
          <w:tab w:val="left" w:pos="1080"/>
        </w:tabs>
        <w:spacing w:before="6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Кроме того, представляется необоснованным формирование нормативов с использован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ем статистических данных за 12 месяцев (9 мес. 2016 г. и 3 мес. 2017 г.).</w:t>
      </w:r>
      <w:r w:rsidR="0000328A" w:rsidRPr="00A11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1EF4">
        <w:rPr>
          <w:rFonts w:ascii="Times New Roman" w:hAnsi="Times New Roman"/>
          <w:color w:val="000000"/>
          <w:sz w:val="24"/>
          <w:szCs w:val="24"/>
        </w:rPr>
        <w:t>Обычно для сглаживания случайных отклонений, возникающих в силу объекти</w:t>
      </w:r>
      <w:r w:rsidRPr="00A11EF4">
        <w:rPr>
          <w:rFonts w:ascii="Times New Roman" w:hAnsi="Times New Roman"/>
          <w:color w:val="000000"/>
          <w:sz w:val="24"/>
          <w:szCs w:val="24"/>
        </w:rPr>
        <w:t>в</w:t>
      </w:r>
      <w:r w:rsidRPr="00A11EF4">
        <w:rPr>
          <w:rFonts w:ascii="Times New Roman" w:hAnsi="Times New Roman"/>
          <w:color w:val="000000"/>
          <w:sz w:val="24"/>
          <w:szCs w:val="24"/>
        </w:rPr>
        <w:t>ных макроэкономических и рыночных процессов,  при работе со статистической инфо</w:t>
      </w:r>
      <w:r w:rsidRPr="00A11EF4">
        <w:rPr>
          <w:rFonts w:ascii="Times New Roman" w:hAnsi="Times New Roman"/>
          <w:color w:val="000000"/>
          <w:sz w:val="24"/>
          <w:szCs w:val="24"/>
        </w:rPr>
        <w:t>р</w:t>
      </w:r>
      <w:r w:rsidRPr="00A11EF4">
        <w:rPr>
          <w:rFonts w:ascii="Times New Roman" w:hAnsi="Times New Roman"/>
          <w:color w:val="000000"/>
          <w:sz w:val="24"/>
          <w:szCs w:val="24"/>
        </w:rPr>
        <w:t>мацией берется пятилетний или, как минимум, трехлетний период. Информация за один год не является представительной и не характеризует объекты исследования с необход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мой достоверностью.</w:t>
      </w:r>
    </w:p>
    <w:p w:rsidR="00F15372" w:rsidRPr="00A11EF4" w:rsidRDefault="00993767" w:rsidP="0000328A">
      <w:pPr>
        <w:tabs>
          <w:tab w:val="left" w:pos="1080"/>
        </w:tabs>
        <w:spacing w:before="60" w:after="6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связи с этим выводы, сделанные разработчиком нормативов НР относительно в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личины составляющих их показателей, не могут считаться надежными и обоснованными. </w:t>
      </w:r>
    </w:p>
    <w:p w:rsidR="00BA7931" w:rsidRPr="00A11EF4" w:rsidRDefault="00BA7931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  <w:sectPr w:rsidR="00BA7931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7DDB" w:rsidRPr="00A11EF4" w:rsidRDefault="00147DDB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6" w:name="_Toc527914217"/>
      <w:r w:rsidRPr="00A11EF4">
        <w:rPr>
          <w:rFonts w:ascii="Times New Roman" w:hAnsi="Times New Roman"/>
          <w:b/>
          <w:color w:val="000000"/>
          <w:sz w:val="28"/>
          <w:szCs w:val="28"/>
        </w:rPr>
        <w:t>Анализ данных Росстата</w:t>
      </w:r>
      <w:bookmarkEnd w:id="6"/>
    </w:p>
    <w:p w:rsidR="00147DDB" w:rsidRPr="00A11EF4" w:rsidRDefault="00147DDB" w:rsidP="00F15372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OLE_LINK1"/>
      <w:bookmarkStart w:id="8" w:name="OLE_LINK2"/>
      <w:r w:rsidRPr="00A11EF4">
        <w:rPr>
          <w:rFonts w:ascii="Times New Roman" w:hAnsi="Times New Roman"/>
          <w:color w:val="000000"/>
          <w:sz w:val="24"/>
          <w:szCs w:val="24"/>
        </w:rPr>
        <w:t>Для оценки адекватности предлагаемых Методикой нормативов НР произведен укрупне</w:t>
      </w:r>
      <w:r w:rsidRPr="00A11EF4">
        <w:rPr>
          <w:rFonts w:ascii="Times New Roman" w:hAnsi="Times New Roman"/>
          <w:color w:val="000000"/>
          <w:sz w:val="24"/>
          <w:szCs w:val="24"/>
        </w:rPr>
        <w:t>н</w:t>
      </w:r>
      <w:r w:rsidRPr="00A11EF4">
        <w:rPr>
          <w:rFonts w:ascii="Times New Roman" w:hAnsi="Times New Roman"/>
          <w:color w:val="000000"/>
          <w:sz w:val="24"/>
          <w:szCs w:val="24"/>
        </w:rPr>
        <w:t>ный расчет соотношения накладных расходов и ФОТ рабочих (далее – процент НР) на основе да</w:t>
      </w:r>
      <w:r w:rsidRPr="00A11EF4">
        <w:rPr>
          <w:rFonts w:ascii="Times New Roman" w:hAnsi="Times New Roman"/>
          <w:color w:val="000000"/>
          <w:sz w:val="24"/>
          <w:szCs w:val="24"/>
        </w:rPr>
        <w:t>н</w:t>
      </w:r>
      <w:r w:rsidRPr="00A11EF4">
        <w:rPr>
          <w:rFonts w:ascii="Times New Roman" w:hAnsi="Times New Roman"/>
          <w:color w:val="000000"/>
          <w:sz w:val="24"/>
          <w:szCs w:val="24"/>
        </w:rPr>
        <w:t>ных Росстата по форме 5-</w:t>
      </w:r>
      <w:r w:rsidR="002A48A6" w:rsidRPr="00A11EF4">
        <w:rPr>
          <w:rFonts w:ascii="Times New Roman" w:hAnsi="Times New Roman"/>
          <w:color w:val="000000"/>
          <w:sz w:val="24"/>
          <w:szCs w:val="24"/>
        </w:rPr>
        <w:t>з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в целом по РФ и ее субъектам за 9 мес. 2016 года и 1 кв. 2017 г., кот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рые содержат следующие показатели:</w:t>
      </w:r>
    </w:p>
    <w:bookmarkEnd w:id="7"/>
    <w:bookmarkEnd w:id="8"/>
    <w:p w:rsidR="00147DDB" w:rsidRPr="00A11EF4" w:rsidRDefault="00147DDB" w:rsidP="00F1537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Выпуск товаров и услуг (собственными силами без НДС).</w:t>
      </w:r>
    </w:p>
    <w:p w:rsidR="00147DDB" w:rsidRPr="00A11EF4" w:rsidRDefault="00147DDB" w:rsidP="00F1537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Затраты на производство и реализацию продукции (работ, услуг).</w:t>
      </w:r>
    </w:p>
    <w:p w:rsidR="00147DDB" w:rsidRPr="00A11EF4" w:rsidRDefault="00147DDB" w:rsidP="00F1537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Материальные затраты</w:t>
      </w:r>
    </w:p>
    <w:p w:rsidR="00147DDB" w:rsidRPr="00A11EF4" w:rsidRDefault="00147DDB" w:rsidP="00F1537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 xml:space="preserve">Затраты на оплату труда </w:t>
      </w:r>
      <w:r w:rsidRPr="00A11EF4">
        <w:rPr>
          <w:rFonts w:ascii="Times New Roman" w:hAnsi="Times New Roman"/>
          <w:i/>
          <w:color w:val="000000"/>
          <w:sz w:val="20"/>
          <w:szCs w:val="20"/>
        </w:rPr>
        <w:t>(общие, в т.ч. включаемые в НР)</w:t>
      </w:r>
      <w:r w:rsidRPr="00A11EF4">
        <w:rPr>
          <w:rFonts w:ascii="Times New Roman" w:hAnsi="Times New Roman"/>
          <w:color w:val="000000"/>
          <w:sz w:val="20"/>
          <w:szCs w:val="20"/>
        </w:rPr>
        <w:t>.</w:t>
      </w:r>
    </w:p>
    <w:p w:rsidR="00147DDB" w:rsidRPr="00A11EF4" w:rsidRDefault="00147DDB" w:rsidP="00F1537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Страховые взносы в ПФ, ФСС, ФОМС.</w:t>
      </w:r>
    </w:p>
    <w:p w:rsidR="00147DDB" w:rsidRPr="00A11EF4" w:rsidRDefault="00147DDB" w:rsidP="00F1537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Амортизация основных средств.</w:t>
      </w:r>
    </w:p>
    <w:p w:rsidR="00147DDB" w:rsidRPr="00A11EF4" w:rsidRDefault="00147DDB" w:rsidP="00F1537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Прочие затраты, в том числе: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Амортизация нематериальных активов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Арендная плата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Обязательные страховые платежи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Добровольные страховые платежи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Представительские расходы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Суточные и подъёмные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 xml:space="preserve">Налоги и сборы, включаемые в себестоимость продукции (работ, услуг) </w:t>
      </w:r>
    </w:p>
    <w:p w:rsidR="00147DDB" w:rsidRPr="00A11EF4" w:rsidRDefault="00147DDB" w:rsidP="0075011A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143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Расходы по оплате прочих услуг непроизводственного характера, выполненных сторонн</w:t>
      </w:r>
      <w:r w:rsidRPr="00A11EF4">
        <w:rPr>
          <w:rFonts w:ascii="Times New Roman" w:hAnsi="Times New Roman"/>
          <w:color w:val="000000"/>
          <w:sz w:val="20"/>
          <w:szCs w:val="20"/>
        </w:rPr>
        <w:t>и</w:t>
      </w:r>
      <w:r w:rsidRPr="00A11EF4">
        <w:rPr>
          <w:rFonts w:ascii="Times New Roman" w:hAnsi="Times New Roman"/>
          <w:color w:val="000000"/>
          <w:sz w:val="20"/>
          <w:szCs w:val="20"/>
        </w:rPr>
        <w:t>ми организациями</w:t>
      </w:r>
    </w:p>
    <w:p w:rsidR="00147DDB" w:rsidRPr="00A11EF4" w:rsidRDefault="00147DDB" w:rsidP="00C32DE7">
      <w:pPr>
        <w:numPr>
          <w:ilvl w:val="0"/>
          <w:numId w:val="7"/>
        </w:numPr>
        <w:tabs>
          <w:tab w:val="clear" w:pos="1074"/>
          <w:tab w:val="num" w:pos="1440"/>
        </w:tabs>
        <w:spacing w:after="0" w:line="240" w:lineRule="auto"/>
        <w:ind w:left="0" w:firstLine="1080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Другие затраты</w:t>
      </w:r>
    </w:p>
    <w:p w:rsidR="00147DDB" w:rsidRPr="00A11EF4" w:rsidRDefault="00147DDB" w:rsidP="00F15372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При расчете процента НР в сумму накладных расходов включены:</w:t>
      </w:r>
    </w:p>
    <w:p w:rsidR="00147DDB" w:rsidRPr="00A11EF4" w:rsidRDefault="00147DDB" w:rsidP="008C486D">
      <w:pPr>
        <w:numPr>
          <w:ilvl w:val="1"/>
          <w:numId w:val="12"/>
        </w:numPr>
        <w:tabs>
          <w:tab w:val="clear" w:pos="214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затраты на оплату труда, приходящиеся на НР,</w:t>
      </w:r>
    </w:p>
    <w:p w:rsidR="00147DDB" w:rsidRPr="00A11EF4" w:rsidRDefault="00147DDB" w:rsidP="008C486D">
      <w:pPr>
        <w:numPr>
          <w:ilvl w:val="1"/>
          <w:numId w:val="12"/>
        </w:numPr>
        <w:tabs>
          <w:tab w:val="clear" w:pos="214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страховые взносы в ПФ, ФСС, ФОМС,</w:t>
      </w:r>
    </w:p>
    <w:p w:rsidR="00147DDB" w:rsidRPr="00A11EF4" w:rsidRDefault="00147DDB" w:rsidP="008C486D">
      <w:pPr>
        <w:numPr>
          <w:ilvl w:val="1"/>
          <w:numId w:val="12"/>
        </w:numPr>
        <w:tabs>
          <w:tab w:val="clear" w:pos="2149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прочие затраты за минусом арендной платы. </w:t>
      </w:r>
    </w:p>
    <w:p w:rsidR="00147DDB" w:rsidRPr="00A11EF4" w:rsidRDefault="00147DDB" w:rsidP="00F15372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связи с тем, что Главгосэкспертизой не предоставлена информация о структуре оплаты труда и структуре численности работников, которая использовалась для разрабо</w:t>
      </w:r>
      <w:r w:rsidRPr="00A11EF4">
        <w:rPr>
          <w:rFonts w:ascii="Times New Roman" w:hAnsi="Times New Roman"/>
          <w:color w:val="000000"/>
          <w:sz w:val="24"/>
          <w:szCs w:val="24"/>
        </w:rPr>
        <w:t>т</w:t>
      </w:r>
      <w:r w:rsidRPr="00A11EF4">
        <w:rPr>
          <w:rFonts w:ascii="Times New Roman" w:hAnsi="Times New Roman"/>
          <w:color w:val="000000"/>
          <w:sz w:val="24"/>
          <w:szCs w:val="24"/>
        </w:rPr>
        <w:t>ки нормативов НР, в настоящих расчетах доля ФОТ основных рабочих и доля ФОТ, отн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симая на НР, принята, исходя из показателей статистического бюллетеня Росстата</w:t>
      </w:r>
      <w:r w:rsidRPr="00A11EF4">
        <w:rPr>
          <w:rStyle w:val="af1"/>
          <w:rFonts w:ascii="Times New Roman" w:hAnsi="Times New Roman"/>
          <w:color w:val="000000"/>
          <w:sz w:val="24"/>
          <w:szCs w:val="24"/>
        </w:rPr>
        <w:footnoteReference w:id="7"/>
      </w:r>
      <w:r w:rsidRPr="00A11EF4">
        <w:rPr>
          <w:rFonts w:ascii="Times New Roman" w:hAnsi="Times New Roman"/>
          <w:color w:val="000000"/>
          <w:sz w:val="24"/>
          <w:szCs w:val="24"/>
        </w:rPr>
        <w:t>, пр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веденных в Приложении 2 к настоящей работе. Как следует из данных таблиц 1 и 4 стат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стического бюллетеня,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доля затрат на оплату труда рабочих в строительстве соста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ляет в среднем 59%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от общих затрат на оплату труда. Такой уровень, как видно из Пр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ложения 2, свойственен не только строительству, но и другим ведущим отраслям росси</w:t>
      </w:r>
      <w:r w:rsidRPr="00A11EF4">
        <w:rPr>
          <w:rFonts w:ascii="Times New Roman" w:hAnsi="Times New Roman"/>
          <w:color w:val="000000"/>
          <w:sz w:val="24"/>
          <w:szCs w:val="24"/>
        </w:rPr>
        <w:t>й</w:t>
      </w:r>
      <w:r w:rsidRPr="00A11EF4">
        <w:rPr>
          <w:rFonts w:ascii="Times New Roman" w:hAnsi="Times New Roman"/>
          <w:color w:val="000000"/>
          <w:sz w:val="24"/>
          <w:szCs w:val="24"/>
        </w:rPr>
        <w:t>ской экономики.</w:t>
      </w:r>
    </w:p>
    <w:p w:rsidR="00147DDB" w:rsidRPr="00A11EF4" w:rsidRDefault="00147DDB" w:rsidP="00F15372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таблице 3 приведены результаты укрупненного расчета процента НР в стро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тельстве, выполненного по данным Росстата в целом по Российской Федерации (по фед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ральным округам – см. Приложение 1), согласно которым процент НР составил в среднем около 157%.</w:t>
      </w:r>
    </w:p>
    <w:p w:rsidR="00147DDB" w:rsidRPr="00A11EF4" w:rsidRDefault="00147DDB" w:rsidP="00491E3B">
      <w:pPr>
        <w:spacing w:before="120" w:after="6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A11EF4">
        <w:rPr>
          <w:rFonts w:ascii="Times New Roman" w:hAnsi="Times New Roman"/>
          <w:i/>
          <w:color w:val="000000"/>
          <w:sz w:val="24"/>
          <w:szCs w:val="24"/>
        </w:rPr>
        <w:t>Таблица 3. Соотношение НР и ФОТ рабочих по данным Росстата в целом по РФ,</w:t>
      </w:r>
      <w:r w:rsidRPr="00A11EF4">
        <w:rPr>
          <w:rFonts w:ascii="Times New Roman" w:hAnsi="Times New Roman"/>
          <w:i/>
          <w:color w:val="000000"/>
        </w:rPr>
        <w:t xml:space="preserve"> </w:t>
      </w:r>
      <w:r w:rsidR="00F15372" w:rsidRPr="00A11EF4">
        <w:rPr>
          <w:rFonts w:ascii="Times New Roman" w:hAnsi="Times New Roman"/>
          <w:i/>
          <w:color w:val="000000"/>
        </w:rPr>
        <w:t>м</w:t>
      </w:r>
      <w:r w:rsidRPr="00A11EF4">
        <w:rPr>
          <w:rFonts w:ascii="Times New Roman" w:hAnsi="Times New Roman"/>
          <w:i/>
          <w:color w:val="000000"/>
        </w:rPr>
        <w:t>лн.руб.</w:t>
      </w:r>
      <w:r w:rsidRPr="00A11EF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tbl>
      <w:tblPr>
        <w:tblW w:w="93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165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47DDB" w:rsidRPr="00A11EF4" w:rsidTr="00F15372">
        <w:trPr>
          <w:trHeight w:val="227"/>
        </w:trPr>
        <w:tc>
          <w:tcPr>
            <w:tcW w:w="21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F153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Затраты на опл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ту труда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Страх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вые взн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сы в ПФ, ФСС, ФОМС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в т.ч. арен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ная пл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Итого НР</w:t>
            </w:r>
          </w:p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(4+5+6-7)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Процент НР</w:t>
            </w:r>
          </w:p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(8 /3)</w:t>
            </w:r>
          </w:p>
        </w:tc>
      </w:tr>
      <w:tr w:rsidR="00147DDB" w:rsidRPr="00A11EF4" w:rsidTr="00F15372">
        <w:trPr>
          <w:trHeight w:val="227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F153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рабочих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прочего персон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7DDB" w:rsidRPr="00A11EF4" w:rsidTr="00F15372">
        <w:trPr>
          <w:trHeight w:val="22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F15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147DDB" w:rsidRPr="00A11EF4" w:rsidTr="00F15372">
        <w:trPr>
          <w:trHeight w:val="227"/>
        </w:trPr>
        <w:tc>
          <w:tcPr>
            <w:tcW w:w="2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407 296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240 305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166 991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112 742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156 101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58 517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377 317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454F8B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157%</w:t>
            </w:r>
          </w:p>
        </w:tc>
      </w:tr>
    </w:tbl>
    <w:p w:rsidR="00147DDB" w:rsidRPr="00A11EF4" w:rsidRDefault="00147DDB" w:rsidP="008C486D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Укрупненные оценки в таблице 3 показывают, что даже исходя из обезличенной информ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ции Росстата, нормативы НР в Методике значительно занижены по сравнению с уровнем НР, сл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жившимся в строительной отрасли.</w:t>
      </w:r>
    </w:p>
    <w:p w:rsidR="00147DDB" w:rsidRPr="00A11EF4" w:rsidRDefault="00147DDB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Соотношение накладных расходов и ФОТ основных рабочих по факту вдвое выше, чем нормативы НР в Методике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7DDB" w:rsidRPr="00A11EF4" w:rsidRDefault="00147DDB" w:rsidP="008C486D">
      <w:p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Сложившийся в настоящее время на строительном рынке средний процент НР пр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вышает не только нормативы, предлагаемые Методикой, но и номинальный уровень но</w:t>
      </w:r>
      <w:r w:rsidRPr="00A11EF4">
        <w:rPr>
          <w:rFonts w:ascii="Times New Roman" w:hAnsi="Times New Roman"/>
          <w:color w:val="000000"/>
          <w:sz w:val="24"/>
          <w:szCs w:val="24"/>
        </w:rPr>
        <w:t>р</w:t>
      </w:r>
      <w:r w:rsidRPr="00A11EF4">
        <w:rPr>
          <w:rFonts w:ascii="Times New Roman" w:hAnsi="Times New Roman"/>
          <w:color w:val="000000"/>
          <w:sz w:val="24"/>
          <w:szCs w:val="24"/>
        </w:rPr>
        <w:t>мативов по действующему МДС 81-33.2004. Данное обстоятельство отражает происходящие изменения в стро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тельной отрасли, связанные, как и во всей экономике России, с техническим прогрессом, вытеснением ручного труда за счет активной механизации, а</w:t>
      </w:r>
      <w:r w:rsidRPr="00A11EF4">
        <w:rPr>
          <w:rFonts w:ascii="Times New Roman" w:hAnsi="Times New Roman"/>
          <w:color w:val="000000"/>
          <w:sz w:val="24"/>
          <w:szCs w:val="24"/>
        </w:rPr>
        <w:t>в</w:t>
      </w:r>
      <w:r w:rsidRPr="00A11EF4">
        <w:rPr>
          <w:rFonts w:ascii="Times New Roman" w:hAnsi="Times New Roman"/>
          <w:color w:val="000000"/>
          <w:sz w:val="24"/>
          <w:szCs w:val="24"/>
        </w:rPr>
        <w:t>томатизации, интеллектуализации производства. Эти процессы ведут к росту его эффективности, о чем свидетельствует, например, повыш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тельная динамика среднемесячной выработки на одного работника в строительстве (таблица 4):</w:t>
      </w:r>
    </w:p>
    <w:p w:rsidR="00147DDB" w:rsidRPr="00A11EF4" w:rsidRDefault="00147DDB" w:rsidP="00491E3B">
      <w:pPr>
        <w:autoSpaceDE w:val="0"/>
        <w:autoSpaceDN w:val="0"/>
        <w:adjustRightInd w:val="0"/>
        <w:spacing w:before="120" w:after="6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A11EF4">
        <w:rPr>
          <w:rFonts w:ascii="Times New Roman" w:hAnsi="Times New Roman"/>
          <w:i/>
          <w:color w:val="000000"/>
          <w:sz w:val="24"/>
          <w:szCs w:val="24"/>
        </w:rPr>
        <w:t>Таблица 4. Выработка на 1 работника в строительстве</w:t>
      </w:r>
      <w:r w:rsidRPr="00A11EF4">
        <w:rPr>
          <w:rStyle w:val="af1"/>
          <w:rFonts w:ascii="Times New Roman" w:hAnsi="Times New Roman"/>
          <w:i/>
          <w:color w:val="000000"/>
          <w:sz w:val="24"/>
          <w:szCs w:val="24"/>
        </w:rPr>
        <w:footnoteReference w:id="8"/>
      </w:r>
      <w:r w:rsidRPr="00A11EF4">
        <w:rPr>
          <w:rFonts w:ascii="Times New Roman" w:hAnsi="Times New Roman"/>
          <w:i/>
          <w:color w:val="000000"/>
          <w:sz w:val="24"/>
          <w:szCs w:val="24"/>
        </w:rPr>
        <w:t xml:space="preserve">, руб./руб. </w:t>
      </w:r>
    </w:p>
    <w:tbl>
      <w:tblPr>
        <w:tblW w:w="93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145"/>
        <w:gridCol w:w="870"/>
        <w:gridCol w:w="870"/>
        <w:gridCol w:w="870"/>
        <w:gridCol w:w="870"/>
        <w:gridCol w:w="870"/>
        <w:gridCol w:w="870"/>
      </w:tblGrid>
      <w:tr w:rsidR="00147DDB" w:rsidRPr="00A11EF4" w:rsidTr="00C946DA">
        <w:trPr>
          <w:trHeight w:val="264"/>
        </w:trPr>
        <w:tc>
          <w:tcPr>
            <w:tcW w:w="41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</w:tr>
      <w:tr w:rsidR="00147DDB" w:rsidRPr="00A11EF4" w:rsidTr="00C946DA">
        <w:trPr>
          <w:trHeight w:val="264"/>
        </w:trPr>
        <w:tc>
          <w:tcPr>
            <w:tcW w:w="4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выработка на 1 чел.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29 322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68 749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87 821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90 117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90 446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108 464</w:t>
            </w:r>
          </w:p>
        </w:tc>
      </w:tr>
      <w:tr w:rsidR="00147DDB" w:rsidRPr="00A11EF4" w:rsidTr="00C946DA">
        <w:trPr>
          <w:trHeight w:val="264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То же, с пересчетом в уровень цен 2005 г.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29 322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38 913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40 262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39 498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38 081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42 840</w:t>
            </w:r>
          </w:p>
        </w:tc>
      </w:tr>
    </w:tbl>
    <w:p w:rsidR="00147DDB" w:rsidRPr="00A11EF4" w:rsidRDefault="00147DDB" w:rsidP="008C486D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Вытеснение ручного труда привело к существенному изменению структуры персонала, з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нятого в строительной отрасли, в сторону снижения доли рабочих и повышения доли инженерно-технических работников.</w:t>
      </w:r>
    </w:p>
    <w:p w:rsidR="00147DDB" w:rsidRPr="00A11EF4" w:rsidRDefault="00147DDB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Анализ Приложений 8 и 9 к МДС 81-33.2004 показывает, что в нормативах НР, введенных в 2004 году, доля оплаты труда основных рабочих составляла около 70% (та</w:t>
      </w:r>
      <w:r w:rsidRPr="00A11EF4">
        <w:rPr>
          <w:rFonts w:ascii="Times New Roman" w:hAnsi="Times New Roman"/>
          <w:color w:val="000000"/>
          <w:sz w:val="24"/>
          <w:szCs w:val="24"/>
        </w:rPr>
        <w:t>б</w:t>
      </w:r>
      <w:r w:rsidRPr="00A11EF4">
        <w:rPr>
          <w:rFonts w:ascii="Times New Roman" w:hAnsi="Times New Roman"/>
          <w:color w:val="000000"/>
          <w:sz w:val="24"/>
          <w:szCs w:val="24"/>
        </w:rPr>
        <w:t>лица 5). Как следует из данных статистического бюллетеня Росстата, доля оплаты труда рабочих составляет сейчас около 60% (а основных, соответственно, и того меньше).</w:t>
      </w:r>
    </w:p>
    <w:p w:rsidR="00147DDB" w:rsidRPr="00A11EF4" w:rsidRDefault="00147DDB" w:rsidP="00491E3B">
      <w:pPr>
        <w:autoSpaceDE w:val="0"/>
        <w:autoSpaceDN w:val="0"/>
        <w:adjustRightInd w:val="0"/>
        <w:spacing w:before="120" w:after="6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A11EF4">
        <w:rPr>
          <w:rFonts w:ascii="Times New Roman" w:hAnsi="Times New Roman"/>
          <w:i/>
          <w:color w:val="000000"/>
          <w:sz w:val="24"/>
          <w:szCs w:val="24"/>
        </w:rPr>
        <w:t>Таблица 5. Оценка доли ФОТ основных рабочих в нормативе НР по МДС 81-33.2004</w:t>
      </w:r>
    </w:p>
    <w:tbl>
      <w:tblPr>
        <w:tblW w:w="945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69"/>
        <w:gridCol w:w="5836"/>
        <w:gridCol w:w="1048"/>
        <w:gridCol w:w="1048"/>
        <w:gridCol w:w="1049"/>
      </w:tblGrid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14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Пример уровня норматива НР по МДС 81-33.2004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110%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120%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142%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Средняя доля оплаты труда в НР (Приложение 8 к МДС</w:t>
            </w:r>
            <w:r w:rsidR="000A0D56"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81-33.2004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30,98%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30,98%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30,98%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ФОТ прочего персонала в нормативе НР (п.1 * п.2)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ФОТ основных рабочих (следует из формулы нормат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ва)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Всего ФОТ (п.3 + п.4)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Доля ФОТ прочего персонала в общем ФОТ (п.3 / п.5)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25,4%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27,1%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30,6%</w:t>
            </w:r>
          </w:p>
        </w:tc>
      </w:tr>
      <w:tr w:rsidR="00147DDB" w:rsidRPr="00A11EF4" w:rsidTr="008C486D">
        <w:trPr>
          <w:trHeight w:val="22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147DDB" w:rsidRPr="00A11EF4" w:rsidRDefault="00147DDB" w:rsidP="00D4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Доля ФОТ основных рабочих в общем ФОТ (п.4 / п.5)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74,6%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72,9%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DB" w:rsidRPr="00A11EF4" w:rsidRDefault="00147DDB" w:rsidP="00D45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69,4%</w:t>
            </w:r>
          </w:p>
        </w:tc>
      </w:tr>
    </w:tbl>
    <w:p w:rsidR="00147DDB" w:rsidRPr="00A11EF4" w:rsidRDefault="00147DDB" w:rsidP="008C486D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Изменение структуры оплаты труда влечет изменение норматива НР, т.к. за счет последнего должны покрываться расходы на персонал, который не учитывается при расчете прямых сме</w:t>
      </w:r>
      <w:r w:rsidRPr="00A11EF4">
        <w:rPr>
          <w:rFonts w:ascii="Times New Roman" w:hAnsi="Times New Roman"/>
          <w:color w:val="000000"/>
          <w:sz w:val="24"/>
          <w:szCs w:val="24"/>
        </w:rPr>
        <w:t>т</w:t>
      </w:r>
      <w:r w:rsidRPr="00A11EF4">
        <w:rPr>
          <w:rFonts w:ascii="Times New Roman" w:hAnsi="Times New Roman"/>
          <w:color w:val="000000"/>
          <w:sz w:val="24"/>
          <w:szCs w:val="24"/>
        </w:rPr>
        <w:t>ных затрат.</w:t>
      </w:r>
    </w:p>
    <w:p w:rsidR="000A0D56" w:rsidRPr="00145214" w:rsidRDefault="00147DDB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В таблице 6 представлена оценка уровня норматива с учетом современной структ</w:t>
      </w:r>
      <w:r w:rsidRPr="00145214">
        <w:rPr>
          <w:rFonts w:ascii="Times New Roman" w:hAnsi="Times New Roman"/>
          <w:color w:val="000000"/>
          <w:sz w:val="24"/>
          <w:szCs w:val="24"/>
        </w:rPr>
        <w:t>у</w:t>
      </w:r>
      <w:r w:rsidRPr="00145214">
        <w:rPr>
          <w:rFonts w:ascii="Times New Roman" w:hAnsi="Times New Roman"/>
          <w:color w:val="000000"/>
          <w:sz w:val="24"/>
          <w:szCs w:val="24"/>
        </w:rPr>
        <w:t>ры персонала, которая принята по данным статистического бюллетеня Росстата. В качес</w:t>
      </w:r>
      <w:r w:rsidRPr="00145214">
        <w:rPr>
          <w:rFonts w:ascii="Times New Roman" w:hAnsi="Times New Roman"/>
          <w:color w:val="000000"/>
          <w:sz w:val="24"/>
          <w:szCs w:val="24"/>
        </w:rPr>
        <w:t>т</w:t>
      </w:r>
      <w:r w:rsidRPr="00145214">
        <w:rPr>
          <w:rFonts w:ascii="Times New Roman" w:hAnsi="Times New Roman"/>
          <w:color w:val="000000"/>
          <w:sz w:val="24"/>
          <w:szCs w:val="24"/>
        </w:rPr>
        <w:t>ве примера оценка приведена для показателя 1</w:t>
      </w:r>
      <w:r w:rsidR="000A0D56" w:rsidRPr="00145214">
        <w:rPr>
          <w:rFonts w:ascii="Times New Roman" w:hAnsi="Times New Roman"/>
          <w:color w:val="000000"/>
          <w:sz w:val="24"/>
          <w:szCs w:val="24"/>
        </w:rPr>
        <w:t>42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%, который соответствует </w:t>
      </w:r>
      <w:r w:rsidR="000A0D56" w:rsidRPr="00145214">
        <w:rPr>
          <w:rFonts w:ascii="Times New Roman" w:hAnsi="Times New Roman"/>
          <w:color w:val="000000"/>
          <w:sz w:val="24"/>
          <w:szCs w:val="24"/>
        </w:rPr>
        <w:t xml:space="preserve">виду строительных работ «Автомобильные дороги» (п.21 Приложения 4 к МДС 81-33.2004). </w:t>
      </w:r>
    </w:p>
    <w:p w:rsidR="00147DDB" w:rsidRPr="00A11EF4" w:rsidRDefault="00147DDB" w:rsidP="00491E3B">
      <w:pPr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bookmarkStart w:id="9" w:name="_GoBack"/>
      <w:bookmarkEnd w:id="9"/>
      <w:r w:rsidRPr="00A11EF4">
        <w:rPr>
          <w:rFonts w:ascii="Times New Roman" w:hAnsi="Times New Roman"/>
          <w:i/>
          <w:color w:val="000000"/>
          <w:sz w:val="24"/>
          <w:szCs w:val="24"/>
        </w:rPr>
        <w:t>Таблица 6. Оценка процента НР при современной структуре оплаты труда</w:t>
      </w:r>
    </w:p>
    <w:tbl>
      <w:tblPr>
        <w:tblW w:w="9463" w:type="dxa"/>
        <w:tblInd w:w="5" w:type="dxa"/>
        <w:tblLook w:val="0000" w:firstRow="0" w:lastRow="0" w:firstColumn="0" w:lastColumn="0" w:noHBand="0" w:noVBand="0"/>
      </w:tblPr>
      <w:tblGrid>
        <w:gridCol w:w="598"/>
        <w:gridCol w:w="6345"/>
        <w:gridCol w:w="1260"/>
        <w:gridCol w:w="1260"/>
      </w:tblGrid>
      <w:tr w:rsidR="00147DDB" w:rsidRPr="00A11EF4" w:rsidTr="00C946DA">
        <w:trPr>
          <w:trHeight w:val="227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4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При структуре оплаты тр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да согласно</w:t>
            </w:r>
          </w:p>
        </w:tc>
      </w:tr>
      <w:tr w:rsidR="00147DDB" w:rsidRPr="00A11EF4" w:rsidTr="00C946DA">
        <w:trPr>
          <w:trHeight w:val="227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Росстату</w:t>
            </w:r>
          </w:p>
        </w:tc>
      </w:tr>
      <w:tr w:rsidR="00147DDB" w:rsidRPr="00A11EF4" w:rsidTr="00C946DA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7DDB" w:rsidRPr="00A11EF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A11EF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32DE7" w:rsidRPr="00A11EF4" w:rsidTr="00C946DA">
        <w:trPr>
          <w:trHeight w:val="227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32DE7" w:rsidRPr="00A11EF4" w:rsidRDefault="00C32DE7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86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E7" w:rsidRPr="00A11EF4" w:rsidRDefault="00C32DE7" w:rsidP="00C32D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Определение доли ФОТ основных рабочих и ФОТ прочего перс</w:t>
            </w: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11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нала: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Средняя доля оплаты труда в НР (Приложение 8 к МДС)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30,98%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Средневзвешенный  норматив НР, рассчитанный по МДС для компаний – участников опроса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0A0D56" w:rsidRPr="001452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  <w:r w:rsidRPr="001452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ФОТ прочего персонала в нормативе НР (п.1 * 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41FA6"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41FA6"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ФОТ основных рабочих (следует из формулы расчета но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матива)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Всего ФОТ (п.3 + п.4)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41FA6"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41FA6"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Доля ФОТ прочего персонала в общем ФОТ (п.3 / п.5)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147DDB"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,6%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Доля ФОТ основных рабочих в общем ФОТ (п.4 / п.5)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  <w:r w:rsidR="00147DDB"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,4%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Расчет норматива НР при изменении доли ФОТ основных рабочих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 доля ФОТ основных рабочих в общем ФОТ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59%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 доля ФОТ прочего персонала (100% - п.8)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41%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ФОТ основных рабочих (следует из формулы расчета но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матива)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ФОТ прочего персонала в общем ФОТ (п.9 / п.8 * п.10)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69,49</w:t>
            </w:r>
          </w:p>
        </w:tc>
      </w:tr>
      <w:tr w:rsidR="00147DDB" w:rsidRPr="00145214" w:rsidTr="00C946DA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147DDB" w:rsidRPr="00145214" w:rsidRDefault="00147DDB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Итого общий ФОТ (п.10 + п.11)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DB" w:rsidRPr="00145214" w:rsidRDefault="00147DDB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169,49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Прочие НР в нормативе (п.13.1 + п.13.2)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100,29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13.1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Отчисления на социальные нужды (доля по МДС 39,58% * 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56,20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13.2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Прочие НР (доля по МДС 29,44% * 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44,09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зависящие от численности АХП (9,78% * 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18,04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зависящие от численности основных рабочих (4,96% * 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5,18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прочие (14,7% * п.2)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20,87</w:t>
            </w:r>
          </w:p>
        </w:tc>
      </w:tr>
      <w:tr w:rsidR="00C41FA6" w:rsidRPr="0014521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C41FA6" w:rsidRPr="00145214" w:rsidRDefault="00C41FA6" w:rsidP="00147D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НР (п.11 + п.13)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A6" w:rsidRPr="00145214" w:rsidRDefault="00C41FA6" w:rsidP="00147D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169,8</w:t>
            </w:r>
          </w:p>
        </w:tc>
      </w:tr>
    </w:tbl>
    <w:p w:rsidR="00147DDB" w:rsidRPr="00A11EF4" w:rsidRDefault="00147DDB" w:rsidP="00551095">
      <w:pPr>
        <w:spacing w:before="24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Представленные в таблицах 3÷6 результаты оценочных расчетов показывают, что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повышение процента НР является объективным обстоятельством, связанным с изменением структ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ры трудящихся вследствие научно-технического прогресса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не только в строительстве, но и в др</w:t>
      </w:r>
      <w:r w:rsidRPr="00A11EF4">
        <w:rPr>
          <w:rFonts w:ascii="Times New Roman" w:hAnsi="Times New Roman"/>
          <w:color w:val="000000"/>
          <w:sz w:val="24"/>
          <w:szCs w:val="24"/>
        </w:rPr>
        <w:t>у</w:t>
      </w:r>
      <w:r w:rsidRPr="00A11EF4">
        <w:rPr>
          <w:rFonts w:ascii="Times New Roman" w:hAnsi="Times New Roman"/>
          <w:color w:val="000000"/>
          <w:sz w:val="24"/>
          <w:szCs w:val="24"/>
        </w:rPr>
        <w:t>гих важнейших отраслях экономики.</w:t>
      </w:r>
    </w:p>
    <w:p w:rsidR="00BA7931" w:rsidRPr="00A11EF4" w:rsidRDefault="00BA7931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  <w:sectPr w:rsidR="00BA7931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0B69" w:rsidRPr="00A11EF4" w:rsidRDefault="00220B69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_Toc527914218"/>
      <w:r w:rsidRPr="00A11EF4">
        <w:rPr>
          <w:rFonts w:ascii="Times New Roman" w:hAnsi="Times New Roman"/>
          <w:b/>
          <w:color w:val="000000"/>
          <w:sz w:val="28"/>
          <w:szCs w:val="28"/>
        </w:rPr>
        <w:t>Анализ данных строительных компаний</w:t>
      </w:r>
      <w:bookmarkEnd w:id="10"/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Для оценки реального соотношения накладных расходов и ФОТ основных рабочих выполнен анализ данных компаний-участников опроса. Всего к оценке принято </w:t>
      </w:r>
      <w:r w:rsidR="009D1EB4" w:rsidRPr="00A11EF4">
        <w:rPr>
          <w:rFonts w:ascii="Times New Roman" w:hAnsi="Times New Roman"/>
          <w:color w:val="FF0000"/>
          <w:sz w:val="24"/>
          <w:szCs w:val="24"/>
        </w:rPr>
        <w:t>66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5214">
        <w:rPr>
          <w:rFonts w:ascii="Times New Roman" w:hAnsi="Times New Roman"/>
          <w:color w:val="000000"/>
          <w:sz w:val="24"/>
          <w:szCs w:val="24"/>
        </w:rPr>
        <w:t>комп</w:t>
      </w: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color w:val="000000"/>
          <w:sz w:val="24"/>
          <w:szCs w:val="24"/>
        </w:rPr>
        <w:t>ний, часть которых являются группами и, в свою очередь, включает по несколько стро</w:t>
      </w:r>
      <w:r w:rsidRPr="00145214">
        <w:rPr>
          <w:rFonts w:ascii="Times New Roman" w:hAnsi="Times New Roman"/>
          <w:color w:val="000000"/>
          <w:sz w:val="24"/>
          <w:szCs w:val="24"/>
        </w:rPr>
        <w:t>и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тельных предприятий. Это компании, занятые в строительстве автодорог (доля в общих оборотах </w:t>
      </w:r>
      <w:r w:rsidR="009D1EB4" w:rsidRPr="00145214">
        <w:rPr>
          <w:rFonts w:ascii="Times New Roman" w:hAnsi="Times New Roman"/>
          <w:color w:val="000000"/>
          <w:sz w:val="24"/>
          <w:szCs w:val="24"/>
        </w:rPr>
        <w:t>5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6%), инфраструктуры нефтегазовой отрасли (доля оборотов – </w:t>
      </w:r>
      <w:r w:rsidR="009D1EB4" w:rsidRPr="00145214">
        <w:rPr>
          <w:rFonts w:ascii="Times New Roman" w:hAnsi="Times New Roman"/>
          <w:color w:val="000000"/>
          <w:sz w:val="24"/>
          <w:szCs w:val="24"/>
        </w:rPr>
        <w:t>36</w:t>
      </w:r>
      <w:r w:rsidRPr="00145214">
        <w:rPr>
          <w:rFonts w:ascii="Times New Roman" w:hAnsi="Times New Roman"/>
          <w:color w:val="000000"/>
          <w:sz w:val="24"/>
          <w:szCs w:val="24"/>
        </w:rPr>
        <w:t>%), прочей и</w:t>
      </w:r>
      <w:r w:rsidRPr="00145214">
        <w:rPr>
          <w:rFonts w:ascii="Times New Roman" w:hAnsi="Times New Roman"/>
          <w:color w:val="000000"/>
          <w:sz w:val="24"/>
          <w:szCs w:val="24"/>
        </w:rPr>
        <w:t>н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фраструктуры (доля в оборотах </w:t>
      </w:r>
      <w:r w:rsidR="009D1EB4" w:rsidRPr="00145214">
        <w:rPr>
          <w:rFonts w:ascii="Times New Roman" w:hAnsi="Times New Roman"/>
          <w:color w:val="000000"/>
          <w:sz w:val="24"/>
          <w:szCs w:val="24"/>
        </w:rPr>
        <w:t>8</w:t>
      </w:r>
      <w:r w:rsidRPr="00145214">
        <w:rPr>
          <w:rFonts w:ascii="Times New Roman" w:hAnsi="Times New Roman"/>
          <w:color w:val="000000"/>
          <w:sz w:val="24"/>
          <w:szCs w:val="24"/>
        </w:rPr>
        <w:t>%).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Для сопоставимости с показателями, регламентируемыми по </w:t>
      </w:r>
      <w:r w:rsidR="00F60C33" w:rsidRPr="00145214">
        <w:rPr>
          <w:rFonts w:ascii="Times New Roman" w:hAnsi="Times New Roman"/>
          <w:color w:val="000000"/>
          <w:sz w:val="24"/>
          <w:szCs w:val="24"/>
        </w:rPr>
        <w:t xml:space="preserve">п.3.4. и </w:t>
      </w:r>
      <w:r w:rsidRPr="00145214">
        <w:rPr>
          <w:rFonts w:ascii="Times New Roman" w:hAnsi="Times New Roman"/>
          <w:color w:val="000000"/>
          <w:sz w:val="24"/>
          <w:szCs w:val="24"/>
        </w:rPr>
        <w:t>п.3.5 Методики, фактич</w:t>
      </w:r>
      <w:r w:rsidRPr="00145214">
        <w:rPr>
          <w:rFonts w:ascii="Times New Roman" w:hAnsi="Times New Roman"/>
          <w:color w:val="000000"/>
          <w:sz w:val="24"/>
          <w:szCs w:val="24"/>
        </w:rPr>
        <w:t>е</w:t>
      </w:r>
      <w:r w:rsidRPr="00145214">
        <w:rPr>
          <w:rFonts w:ascii="Times New Roman" w:hAnsi="Times New Roman"/>
          <w:color w:val="000000"/>
          <w:sz w:val="24"/>
          <w:szCs w:val="24"/>
        </w:rPr>
        <w:t>ский процент НР рассчитан по формуле: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b/>
          <w:color w:val="000000"/>
          <w:sz w:val="24"/>
          <w:szCs w:val="24"/>
        </w:rPr>
        <w:t>Процент НР = (ФОТнр + СВ + Прочие НР) / ФОТор</w:t>
      </w:r>
      <w:r w:rsidRPr="00145214">
        <w:rPr>
          <w:rFonts w:ascii="Times New Roman" w:hAnsi="Times New Roman"/>
          <w:color w:val="000000"/>
          <w:sz w:val="24"/>
          <w:szCs w:val="24"/>
        </w:rPr>
        <w:t>, где:                                    [3]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b/>
          <w:color w:val="000000"/>
          <w:sz w:val="24"/>
          <w:szCs w:val="24"/>
        </w:rPr>
        <w:t>ФОТор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– затраты на оплату труда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основных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рабочих (строительных рабочих, механизат</w:t>
      </w:r>
      <w:r w:rsidRPr="00145214">
        <w:rPr>
          <w:rFonts w:ascii="Times New Roman" w:hAnsi="Times New Roman"/>
          <w:color w:val="000000"/>
          <w:sz w:val="24"/>
          <w:szCs w:val="24"/>
        </w:rPr>
        <w:t>о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ров, водителей технологического автотранспорта); 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b/>
          <w:color w:val="000000"/>
          <w:sz w:val="24"/>
          <w:szCs w:val="24"/>
        </w:rPr>
        <w:t>ФОТнр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– затраты на оплату труда административно-хозяйственного персонала и инж</w:t>
      </w:r>
      <w:r w:rsidRPr="00145214">
        <w:rPr>
          <w:rFonts w:ascii="Times New Roman" w:hAnsi="Times New Roman"/>
          <w:color w:val="000000"/>
          <w:sz w:val="24"/>
          <w:szCs w:val="24"/>
        </w:rPr>
        <w:t>е</w:t>
      </w:r>
      <w:r w:rsidRPr="00145214">
        <w:rPr>
          <w:rFonts w:ascii="Times New Roman" w:hAnsi="Times New Roman"/>
          <w:color w:val="000000"/>
          <w:sz w:val="24"/>
          <w:szCs w:val="24"/>
        </w:rPr>
        <w:t>нерно-технических работников, вспомогательных и подсобных рабочих;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b/>
          <w:color w:val="000000"/>
          <w:sz w:val="24"/>
          <w:szCs w:val="24"/>
        </w:rPr>
        <w:t>СВ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– страховые взносы в ПФР, ФСС, ФОМС;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b/>
          <w:color w:val="000000"/>
          <w:sz w:val="24"/>
          <w:szCs w:val="24"/>
        </w:rPr>
        <w:t>Прочие НР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– административно-хозяйственные расходы, расходы на обслуживание рабо</w:t>
      </w:r>
      <w:r w:rsidRPr="00145214">
        <w:rPr>
          <w:rFonts w:ascii="Times New Roman" w:hAnsi="Times New Roman"/>
          <w:color w:val="000000"/>
          <w:sz w:val="24"/>
          <w:szCs w:val="24"/>
        </w:rPr>
        <w:t>т</w:t>
      </w:r>
      <w:r w:rsidRPr="00145214">
        <w:rPr>
          <w:rFonts w:ascii="Times New Roman" w:hAnsi="Times New Roman"/>
          <w:color w:val="000000"/>
          <w:sz w:val="24"/>
          <w:szCs w:val="24"/>
        </w:rPr>
        <w:t>ников строительства, расходы на организацию работ на строительных площадках, прочие накла</w:t>
      </w:r>
      <w:r w:rsidRPr="00145214">
        <w:rPr>
          <w:rFonts w:ascii="Times New Roman" w:hAnsi="Times New Roman"/>
          <w:color w:val="000000"/>
          <w:sz w:val="24"/>
          <w:szCs w:val="24"/>
        </w:rPr>
        <w:t>д</w:t>
      </w:r>
      <w:r w:rsidRPr="00145214">
        <w:rPr>
          <w:rFonts w:ascii="Times New Roman" w:hAnsi="Times New Roman"/>
          <w:color w:val="000000"/>
          <w:sz w:val="24"/>
          <w:szCs w:val="24"/>
        </w:rPr>
        <w:t>ные расходы.</w:t>
      </w:r>
    </w:p>
    <w:p w:rsidR="00220B69" w:rsidRPr="00145214" w:rsidRDefault="00220B69" w:rsidP="008C486D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В сводном виде результаты оценки процента НР в анализируемых компаниях пр</w:t>
      </w:r>
      <w:r w:rsidRPr="00145214">
        <w:rPr>
          <w:rFonts w:ascii="Times New Roman" w:hAnsi="Times New Roman"/>
          <w:color w:val="000000"/>
          <w:sz w:val="24"/>
          <w:szCs w:val="24"/>
        </w:rPr>
        <w:t>и</w:t>
      </w:r>
      <w:r w:rsidRPr="00145214">
        <w:rPr>
          <w:rFonts w:ascii="Times New Roman" w:hAnsi="Times New Roman"/>
          <w:color w:val="000000"/>
          <w:sz w:val="24"/>
          <w:szCs w:val="24"/>
        </w:rPr>
        <w:t>ведены в таблице 7, по отдельным компаниям – в Приложении 3 к настоящей работе. В графическом виде значения процента НР и величина самого ФОТ в абсолютном выраж</w:t>
      </w:r>
      <w:r w:rsidRPr="00145214">
        <w:rPr>
          <w:rFonts w:ascii="Times New Roman" w:hAnsi="Times New Roman"/>
          <w:color w:val="000000"/>
          <w:sz w:val="24"/>
          <w:szCs w:val="24"/>
        </w:rPr>
        <w:t>е</w:t>
      </w:r>
      <w:r w:rsidRPr="00145214">
        <w:rPr>
          <w:rFonts w:ascii="Times New Roman" w:hAnsi="Times New Roman"/>
          <w:color w:val="000000"/>
          <w:sz w:val="24"/>
          <w:szCs w:val="24"/>
        </w:rPr>
        <w:t>нии приведены на рис.1.</w:t>
      </w:r>
      <w:r w:rsidR="00A374FA" w:rsidRPr="00145214">
        <w:rPr>
          <w:rFonts w:ascii="Times New Roman" w:hAnsi="Times New Roman"/>
          <w:color w:val="000000"/>
          <w:sz w:val="24"/>
          <w:szCs w:val="24"/>
        </w:rPr>
        <w:t xml:space="preserve"> Структура процента НР приведена в таблице 8.</w:t>
      </w:r>
    </w:p>
    <w:p w:rsidR="00220B69" w:rsidRPr="00145214" w:rsidRDefault="00220B69" w:rsidP="00491E3B">
      <w:pPr>
        <w:spacing w:before="120" w:after="12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145214">
        <w:rPr>
          <w:rFonts w:ascii="Times New Roman" w:hAnsi="Times New Roman"/>
          <w:i/>
          <w:color w:val="000000"/>
          <w:sz w:val="24"/>
          <w:szCs w:val="24"/>
        </w:rPr>
        <w:t>Таблица 7. Показатели, характеризующие соотношение НР и ФОТ основных раб</w:t>
      </w:r>
      <w:r w:rsidRPr="00145214">
        <w:rPr>
          <w:rFonts w:ascii="Times New Roman" w:hAnsi="Times New Roman"/>
          <w:i/>
          <w:color w:val="000000"/>
          <w:sz w:val="24"/>
          <w:szCs w:val="24"/>
        </w:rPr>
        <w:t>о</w:t>
      </w:r>
      <w:r w:rsidRPr="00145214">
        <w:rPr>
          <w:rFonts w:ascii="Times New Roman" w:hAnsi="Times New Roman"/>
          <w:i/>
          <w:color w:val="000000"/>
          <w:sz w:val="24"/>
          <w:szCs w:val="24"/>
        </w:rPr>
        <w:t>чих</w:t>
      </w:r>
    </w:p>
    <w:tbl>
      <w:tblPr>
        <w:tblW w:w="93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5"/>
        <w:gridCol w:w="4320"/>
        <w:gridCol w:w="1500"/>
        <w:gridCol w:w="1500"/>
        <w:gridCol w:w="1500"/>
      </w:tblGrid>
      <w:tr w:rsidR="00220B69" w:rsidRPr="00A11EF4" w:rsidTr="00C946DA">
        <w:trPr>
          <w:trHeight w:val="227"/>
          <w:tblHeader/>
        </w:trPr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B69" w:rsidRPr="00A11EF4" w:rsidRDefault="00220B69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B69" w:rsidRPr="00A11EF4" w:rsidRDefault="00220B69" w:rsidP="008C4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компаний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0B69" w:rsidRPr="00A11EF4" w:rsidRDefault="00220B69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% НР к ФОТ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0B69" w:rsidRPr="00A11EF4" w:rsidRDefault="00220B69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 </w:t>
            </w:r>
          </w:p>
          <w:p w:rsidR="00220B69" w:rsidRPr="00A11EF4" w:rsidRDefault="00220B69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на 1 руб. в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ручки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0B69" w:rsidRPr="00A11EF4" w:rsidRDefault="00220B69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НР </w:t>
            </w:r>
          </w:p>
          <w:p w:rsidR="00220B69" w:rsidRPr="00A11EF4" w:rsidRDefault="00220B69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на 1 руб. в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11EF4">
              <w:rPr>
                <w:rFonts w:ascii="Times New Roman" w:hAnsi="Times New Roman"/>
                <w:color w:val="000000"/>
                <w:sz w:val="24"/>
                <w:szCs w:val="24"/>
              </w:rPr>
              <w:t>ручки</w:t>
            </w:r>
          </w:p>
        </w:tc>
      </w:tr>
      <w:tr w:rsidR="00625398" w:rsidRPr="00145214" w:rsidTr="00551095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Среднее значение % НР </w:t>
            </w:r>
          </w:p>
          <w:p w:rsidR="00625398" w:rsidRPr="00145214" w:rsidRDefault="00625398" w:rsidP="008C48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(сумма НР к сумме ФОТ основных р</w:t>
            </w: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бочих)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625398" w:rsidRPr="00145214" w:rsidTr="00551095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Минимальное значение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625398" w:rsidRPr="00145214" w:rsidTr="00551095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значение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2,02</w:t>
            </w:r>
          </w:p>
        </w:tc>
      </w:tr>
      <w:tr w:rsidR="00625398" w:rsidRPr="00145214" w:rsidTr="00551095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Среднестатистическое значение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625398" w:rsidRPr="00145214" w:rsidTr="00551095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398" w:rsidRPr="00145214" w:rsidRDefault="00625398" w:rsidP="008C48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</w:rPr>
              <w:t>Доверительный интервал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185 - 217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0,09 - 0,17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25398" w:rsidRPr="00145214" w:rsidRDefault="00625398" w:rsidP="008C48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52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0,17 - 0,3</w:t>
            </w:r>
          </w:p>
        </w:tc>
      </w:tr>
    </w:tbl>
    <w:p w:rsidR="00220B69" w:rsidRPr="00A11EF4" w:rsidRDefault="00491E3B" w:rsidP="00CB756E">
      <w:pPr>
        <w:spacing w:before="240"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F08E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373880" cy="1941195"/>
            <wp:effectExtent l="0" t="0" r="0" b="0"/>
            <wp:docPr id="4" name="Рисунок 2" descr="Рис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-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50E" w:rsidRPr="00A11EF4" w:rsidRDefault="00FA150E" w:rsidP="00FA150E">
      <w:pPr>
        <w:spacing w:before="120"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  <w:sectPr w:rsidR="00FA150E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150E" w:rsidRPr="00145214" w:rsidRDefault="00FA150E" w:rsidP="00491E3B">
      <w:pPr>
        <w:spacing w:before="120" w:after="120" w:line="240" w:lineRule="auto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145214">
        <w:rPr>
          <w:rFonts w:ascii="Times New Roman" w:hAnsi="Times New Roman"/>
          <w:i/>
          <w:color w:val="000000"/>
          <w:sz w:val="24"/>
          <w:szCs w:val="24"/>
        </w:rPr>
        <w:t>Таблица 8. Структура сводного процента НР по компаниям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1620"/>
        <w:gridCol w:w="1620"/>
      </w:tblGrid>
      <w:tr w:rsidR="00F16628" w:rsidRPr="00145214" w:rsidTr="00F16628">
        <w:trPr>
          <w:trHeight w:val="288"/>
        </w:trPr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A150E" w:rsidRPr="00145214" w:rsidRDefault="00F16628" w:rsidP="00F16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16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Процент НР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16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Доля в итоге, %</w:t>
            </w:r>
          </w:p>
        </w:tc>
      </w:tr>
      <w:tr w:rsidR="00F16628" w:rsidRPr="00145214" w:rsidTr="00F16628">
        <w:trPr>
          <w:trHeight w:val="288"/>
        </w:trPr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FA150E" w:rsidRPr="00145214" w:rsidRDefault="00FA150E" w:rsidP="00FA150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120,4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</w:tr>
      <w:tr w:rsidR="00FA150E" w:rsidRPr="00145214" w:rsidTr="00F16628">
        <w:trPr>
          <w:trHeight w:val="288"/>
        </w:trPr>
        <w:tc>
          <w:tcPr>
            <w:tcW w:w="6120" w:type="dxa"/>
            <w:shd w:val="clear" w:color="auto" w:fill="auto"/>
            <w:noWrap/>
            <w:vAlign w:val="center"/>
          </w:tcPr>
          <w:p w:rsidR="00FA150E" w:rsidRPr="00145214" w:rsidRDefault="00FA150E" w:rsidP="00FA150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Расходы на обслуживание работников строительства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48,4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</w:tr>
      <w:tr w:rsidR="00FA150E" w:rsidRPr="00145214" w:rsidTr="00F16628">
        <w:trPr>
          <w:trHeight w:val="288"/>
        </w:trPr>
        <w:tc>
          <w:tcPr>
            <w:tcW w:w="6120" w:type="dxa"/>
            <w:shd w:val="clear" w:color="auto" w:fill="auto"/>
            <w:noWrap/>
            <w:vAlign w:val="center"/>
          </w:tcPr>
          <w:p w:rsidR="00FA150E" w:rsidRPr="00145214" w:rsidRDefault="00FA150E" w:rsidP="00FA150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Расходы на организацию работ на строительных площадках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23,5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FA150E" w:rsidRPr="00145214" w:rsidTr="00F16628">
        <w:trPr>
          <w:trHeight w:val="288"/>
        </w:trPr>
        <w:tc>
          <w:tcPr>
            <w:tcW w:w="6120" w:type="dxa"/>
            <w:shd w:val="clear" w:color="auto" w:fill="auto"/>
            <w:noWrap/>
            <w:vAlign w:val="center"/>
          </w:tcPr>
          <w:p w:rsidR="00FA150E" w:rsidRPr="00145214" w:rsidRDefault="00FA150E" w:rsidP="00FA150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Прочие накладные расходы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</w:tr>
      <w:tr w:rsidR="00FA150E" w:rsidRPr="00145214" w:rsidTr="00F16628">
        <w:trPr>
          <w:trHeight w:val="288"/>
        </w:trPr>
        <w:tc>
          <w:tcPr>
            <w:tcW w:w="6120" w:type="dxa"/>
            <w:shd w:val="clear" w:color="auto" w:fill="auto"/>
            <w:noWrap/>
            <w:vAlign w:val="center"/>
          </w:tcPr>
          <w:p w:rsidR="00FA150E" w:rsidRPr="00145214" w:rsidRDefault="00FA150E" w:rsidP="00FA150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Накладные расходы, всего, млн. руб.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230,6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FA150E" w:rsidRPr="00145214" w:rsidTr="00F16628">
        <w:trPr>
          <w:trHeight w:val="288"/>
        </w:trPr>
        <w:tc>
          <w:tcPr>
            <w:tcW w:w="6120" w:type="dxa"/>
            <w:shd w:val="clear" w:color="auto" w:fill="auto"/>
            <w:noWrap/>
            <w:vAlign w:val="center"/>
          </w:tcPr>
          <w:p w:rsidR="00FA150E" w:rsidRPr="00145214" w:rsidRDefault="00FA150E" w:rsidP="00FA150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Из них сумма НР для выполнения СМР собственными силами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45214">
              <w:rPr>
                <w:rFonts w:ascii="Times New Roman" w:hAnsi="Times New Roman"/>
                <w:color w:val="000000"/>
                <w:lang w:eastAsia="ru-RU"/>
              </w:rPr>
              <w:t>215,4</w:t>
            </w:r>
          </w:p>
        </w:tc>
        <w:tc>
          <w:tcPr>
            <w:tcW w:w="162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150E" w:rsidRPr="00145214" w:rsidRDefault="00FA150E" w:rsidP="00FA1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220B69" w:rsidRPr="00145214" w:rsidRDefault="00220B69" w:rsidP="00F16628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Процент НР по компаниям характеризуется очень большим разбросом: минимальное зн</w:t>
      </w: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чение – около </w:t>
      </w:r>
      <w:r w:rsidR="00A80EB4" w:rsidRPr="00145214">
        <w:rPr>
          <w:rFonts w:ascii="Times New Roman" w:hAnsi="Times New Roman"/>
          <w:color w:val="000000"/>
          <w:sz w:val="24"/>
          <w:szCs w:val="24"/>
        </w:rPr>
        <w:t>75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%, максимальное – достигает </w:t>
      </w:r>
      <w:r w:rsidR="00A80EB4" w:rsidRPr="00145214">
        <w:rPr>
          <w:rFonts w:ascii="Times New Roman" w:hAnsi="Times New Roman"/>
          <w:color w:val="000000"/>
          <w:sz w:val="24"/>
          <w:szCs w:val="24"/>
        </w:rPr>
        <w:t>566</w:t>
      </w:r>
      <w:r w:rsidRPr="00145214">
        <w:rPr>
          <w:rFonts w:ascii="Times New Roman" w:hAnsi="Times New Roman"/>
          <w:color w:val="000000"/>
          <w:sz w:val="24"/>
          <w:szCs w:val="24"/>
        </w:rPr>
        <w:t>%.</w:t>
      </w:r>
    </w:p>
    <w:p w:rsidR="00220B69" w:rsidRPr="00145214" w:rsidRDefault="00220B69" w:rsidP="00CB756E">
      <w:pPr>
        <w:tabs>
          <w:tab w:val="left" w:pos="108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При сопоставимой величине ФОТ в большинстве компаний процент НР отличается по ним в несколько раз, однако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доверительный интервал составляет от 1</w:t>
      </w:r>
      <w:r w:rsidR="00A80EB4" w:rsidRPr="00145214">
        <w:rPr>
          <w:rFonts w:ascii="Times New Roman" w:hAnsi="Times New Roman"/>
          <w:b/>
          <w:color w:val="000000"/>
          <w:sz w:val="24"/>
          <w:szCs w:val="24"/>
        </w:rPr>
        <w:t>85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% до 2</w:t>
      </w:r>
      <w:r w:rsidR="00A80EB4" w:rsidRPr="00145214">
        <w:rPr>
          <w:rFonts w:ascii="Times New Roman" w:hAnsi="Times New Roman"/>
          <w:b/>
          <w:color w:val="000000"/>
          <w:sz w:val="24"/>
          <w:szCs w:val="24"/>
        </w:rPr>
        <w:t>17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% с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математическим ожиданием около </w:t>
      </w:r>
      <w:r w:rsidR="00A80EB4" w:rsidRPr="00145214">
        <w:rPr>
          <w:rFonts w:ascii="Times New Roman" w:hAnsi="Times New Roman"/>
          <w:b/>
          <w:color w:val="000000"/>
          <w:sz w:val="24"/>
          <w:szCs w:val="24"/>
        </w:rPr>
        <w:t>200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Это в 2-3 раза выше, чем уровень норм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тивов НР в Методике (около </w:t>
      </w:r>
      <w:r w:rsidR="00277884" w:rsidRPr="00145214">
        <w:rPr>
          <w:rFonts w:ascii="Times New Roman" w:hAnsi="Times New Roman"/>
          <w:b/>
          <w:color w:val="000000"/>
          <w:sz w:val="24"/>
          <w:szCs w:val="24"/>
        </w:rPr>
        <w:t>70-80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%). </w:t>
      </w:r>
    </w:p>
    <w:p w:rsidR="00220B69" w:rsidRPr="00145214" w:rsidRDefault="00220B69" w:rsidP="002959AA">
      <w:pPr>
        <w:tabs>
          <w:tab w:val="left" w:pos="108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Исходя из разброса величины НР, можно было бы предположить, что в отдельных компаниях слишком высоки финансовые, управленческие издержки или иные непроизводительные з</w:t>
      </w: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траты по сравнению с уровнем нормативов НР в Методике. Однако уровень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нормативов НР </w:t>
      </w:r>
      <w:r w:rsidR="00A80EB4" w:rsidRPr="00145214">
        <w:rPr>
          <w:rFonts w:ascii="Times New Roman" w:hAnsi="Times New Roman"/>
          <w:b/>
          <w:color w:val="000000"/>
          <w:sz w:val="24"/>
          <w:szCs w:val="24"/>
        </w:rPr>
        <w:t>ниже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77884" w:rsidRPr="00145214">
        <w:rPr>
          <w:rFonts w:ascii="Times New Roman" w:hAnsi="Times New Roman"/>
          <w:b/>
          <w:color w:val="000000"/>
          <w:sz w:val="24"/>
          <w:szCs w:val="24"/>
        </w:rPr>
        <w:t>80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% характерен для </w:t>
      </w:r>
      <w:r w:rsidR="00A80EB4" w:rsidRPr="00AE6EF0">
        <w:rPr>
          <w:rFonts w:ascii="Times New Roman" w:hAnsi="Times New Roman"/>
          <w:b/>
          <w:color w:val="000000"/>
          <w:sz w:val="24"/>
          <w:szCs w:val="24"/>
        </w:rPr>
        <w:t>0,4</w:t>
      </w:r>
      <w:r w:rsidRPr="00AE6EF0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 xml:space="preserve"> всего включенного в анализ объема СМР. </w:t>
      </w:r>
    </w:p>
    <w:p w:rsidR="00220B69" w:rsidRPr="00145214" w:rsidRDefault="00220B69" w:rsidP="008C486D">
      <w:pPr>
        <w:tabs>
          <w:tab w:val="left" w:pos="1080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Из общего объема СМР процент НР:</w:t>
      </w:r>
    </w:p>
    <w:p w:rsidR="00220B69" w:rsidRPr="00145214" w:rsidRDefault="00220B69" w:rsidP="008C486D">
      <w:pPr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выше 120% на </w:t>
      </w:r>
      <w:r w:rsidR="00A80EB4" w:rsidRPr="00145214">
        <w:rPr>
          <w:rFonts w:ascii="Times New Roman" w:hAnsi="Times New Roman"/>
          <w:color w:val="000000"/>
          <w:sz w:val="24"/>
          <w:szCs w:val="24"/>
        </w:rPr>
        <w:t>61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предприятиях, доля в объемах СМР </w:t>
      </w:r>
      <w:r w:rsidR="00A80EB4" w:rsidRPr="00145214">
        <w:rPr>
          <w:rFonts w:ascii="Times New Roman" w:hAnsi="Times New Roman"/>
          <w:color w:val="000000"/>
          <w:sz w:val="24"/>
          <w:szCs w:val="24"/>
        </w:rPr>
        <w:t>9</w:t>
      </w:r>
      <w:r w:rsidR="00277884" w:rsidRPr="00145214">
        <w:rPr>
          <w:rFonts w:ascii="Times New Roman" w:hAnsi="Times New Roman"/>
          <w:color w:val="000000"/>
          <w:sz w:val="24"/>
          <w:szCs w:val="24"/>
        </w:rPr>
        <w:t>8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%, </w:t>
      </w:r>
    </w:p>
    <w:p w:rsidR="00220B69" w:rsidRPr="00145214" w:rsidRDefault="00220B69" w:rsidP="008C486D">
      <w:pPr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выше 160% на </w:t>
      </w:r>
      <w:r w:rsidR="00A80EB4" w:rsidRPr="00145214">
        <w:rPr>
          <w:rFonts w:ascii="Times New Roman" w:hAnsi="Times New Roman"/>
          <w:color w:val="000000"/>
          <w:sz w:val="24"/>
          <w:szCs w:val="24"/>
        </w:rPr>
        <w:t>38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предприятиях, доля в объемах СМР </w:t>
      </w:r>
      <w:r w:rsidR="00277884" w:rsidRPr="00145214">
        <w:rPr>
          <w:rFonts w:ascii="Times New Roman" w:hAnsi="Times New Roman"/>
          <w:color w:val="000000"/>
          <w:sz w:val="24"/>
          <w:szCs w:val="24"/>
        </w:rPr>
        <w:t>82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%, </w:t>
      </w:r>
    </w:p>
    <w:p w:rsidR="00220B69" w:rsidRPr="00145214" w:rsidRDefault="00220B69" w:rsidP="008C486D">
      <w:pPr>
        <w:numPr>
          <w:ilvl w:val="1"/>
          <w:numId w:val="1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выше 200% на </w:t>
      </w:r>
      <w:r w:rsidR="00A80EB4" w:rsidRPr="00145214">
        <w:rPr>
          <w:rFonts w:ascii="Times New Roman" w:hAnsi="Times New Roman"/>
          <w:color w:val="000000"/>
          <w:sz w:val="24"/>
          <w:szCs w:val="24"/>
        </w:rPr>
        <w:t>24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предприятиях, доля в объемах СМР </w:t>
      </w:r>
      <w:r w:rsidR="00277884" w:rsidRPr="00145214">
        <w:rPr>
          <w:rFonts w:ascii="Times New Roman" w:hAnsi="Times New Roman"/>
          <w:color w:val="000000"/>
          <w:sz w:val="24"/>
          <w:szCs w:val="24"/>
        </w:rPr>
        <w:t>63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%. </w:t>
      </w:r>
    </w:p>
    <w:p w:rsidR="00220B69" w:rsidRPr="00145214" w:rsidRDefault="00220B69" w:rsidP="002959AA">
      <w:pPr>
        <w:tabs>
          <w:tab w:val="left" w:pos="1080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Следовательно, можно утверждать, что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процент НР к ФОТ основных рабочих на уровне 70-80% в два-три раза отличается от сложившихся на рынке реалий</w:t>
      </w:r>
      <w:r w:rsidRPr="00145214">
        <w:rPr>
          <w:rFonts w:ascii="Times New Roman" w:hAnsi="Times New Roman"/>
          <w:color w:val="000000"/>
          <w:sz w:val="24"/>
          <w:szCs w:val="24"/>
        </w:rPr>
        <w:t>, что подтверждает выв</w:t>
      </w:r>
      <w:r w:rsidRPr="00145214">
        <w:rPr>
          <w:rFonts w:ascii="Times New Roman" w:hAnsi="Times New Roman"/>
          <w:color w:val="000000"/>
          <w:sz w:val="24"/>
          <w:szCs w:val="24"/>
        </w:rPr>
        <w:t>о</w:t>
      </w:r>
      <w:r w:rsidRPr="00145214">
        <w:rPr>
          <w:rFonts w:ascii="Times New Roman" w:hAnsi="Times New Roman"/>
          <w:color w:val="000000"/>
          <w:sz w:val="24"/>
          <w:szCs w:val="24"/>
        </w:rPr>
        <w:t>ды, полученные при оценке данных Росстата.</w:t>
      </w:r>
    </w:p>
    <w:p w:rsidR="00220B69" w:rsidRPr="00145214" w:rsidRDefault="00220B69" w:rsidP="002959AA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Согласно п.1.6 Методики предлагаемая в ней сметная нормативная величина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кладных расходов «отражает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среднеотраслевые затраты организаций</w:t>
      </w:r>
      <w:r w:rsidRPr="00A11EF4">
        <w:rPr>
          <w:rFonts w:ascii="Times New Roman" w:hAnsi="Times New Roman"/>
          <w:color w:val="000000"/>
          <w:sz w:val="24"/>
          <w:szCs w:val="24"/>
        </w:rPr>
        <w:t>, осуществляющих строительство, на покрытие административно-хозяйственных расходов, расходов на о</w:t>
      </w:r>
      <w:r w:rsidRPr="00A11EF4">
        <w:rPr>
          <w:rFonts w:ascii="Times New Roman" w:hAnsi="Times New Roman"/>
          <w:color w:val="000000"/>
          <w:sz w:val="24"/>
          <w:szCs w:val="24"/>
        </w:rPr>
        <w:t>б</w:t>
      </w:r>
      <w:r w:rsidRPr="00A11EF4">
        <w:rPr>
          <w:rFonts w:ascii="Times New Roman" w:hAnsi="Times New Roman"/>
          <w:color w:val="000000"/>
          <w:sz w:val="24"/>
          <w:szCs w:val="24"/>
        </w:rPr>
        <w:t>служивание работников строительства, организацию работ на строительных площадках и других, относящихся на себестоимость строительства и учтенных нормативами накла</w:t>
      </w:r>
      <w:r w:rsidRPr="00A11EF4">
        <w:rPr>
          <w:rFonts w:ascii="Times New Roman" w:hAnsi="Times New Roman"/>
          <w:color w:val="000000"/>
          <w:sz w:val="24"/>
          <w:szCs w:val="24"/>
        </w:rPr>
        <w:t>д</w:t>
      </w:r>
      <w:r w:rsidRPr="00A11EF4">
        <w:rPr>
          <w:rFonts w:ascii="Times New Roman" w:hAnsi="Times New Roman"/>
          <w:color w:val="000000"/>
          <w:sz w:val="24"/>
          <w:szCs w:val="24"/>
        </w:rPr>
        <w:t>ных расходов». Однако результаты оценки данных Росстата и строительных компаний п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казали, что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предлагаемые Методикой нормативы НР как минимум вдвое ниже сре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д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неотраслевых показателей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Поэтому ссылка на них в Методике не оправдана, а сн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 xml:space="preserve">жение нормативов НР по сравнению с уровнем, 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закрепле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145214">
        <w:rPr>
          <w:rFonts w:ascii="Times New Roman" w:hAnsi="Times New Roman"/>
          <w:b/>
          <w:color w:val="000000"/>
          <w:sz w:val="24"/>
          <w:szCs w:val="24"/>
        </w:rPr>
        <w:t>ном в действующем МДС 81-33.2004 и сложившимся в отрасли, не обосновано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20B69" w:rsidRPr="00145214" w:rsidRDefault="00FA7A30" w:rsidP="002959AA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нализ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 накладных расходов 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помимо изменения доли оплаты труда осно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в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ных рабочих в строительной отрасли выяв</w:t>
      </w:r>
      <w:r w:rsidRPr="00145214">
        <w:rPr>
          <w:rFonts w:ascii="Times New Roman" w:hAnsi="Times New Roman"/>
          <w:color w:val="000000"/>
          <w:sz w:val="24"/>
          <w:szCs w:val="24"/>
        </w:rPr>
        <w:t>ил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 xml:space="preserve"> и другие факторы, требующие внимател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ь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ного изучения. Например, к ним относятся существенны</w:t>
      </w:r>
      <w:r w:rsidRPr="00145214">
        <w:rPr>
          <w:rFonts w:ascii="Times New Roman" w:hAnsi="Times New Roman"/>
          <w:color w:val="000000"/>
          <w:sz w:val="24"/>
          <w:szCs w:val="24"/>
        </w:rPr>
        <w:t xml:space="preserve">й рост 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отдельны</w:t>
      </w:r>
      <w:r w:rsidRPr="00145214">
        <w:rPr>
          <w:rFonts w:ascii="Times New Roman" w:hAnsi="Times New Roman"/>
          <w:color w:val="000000"/>
          <w:sz w:val="24"/>
          <w:szCs w:val="24"/>
        </w:rPr>
        <w:t>х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 xml:space="preserve"> стат</w:t>
      </w:r>
      <w:r w:rsidRPr="00145214">
        <w:rPr>
          <w:rFonts w:ascii="Times New Roman" w:hAnsi="Times New Roman"/>
          <w:color w:val="000000"/>
          <w:sz w:val="24"/>
          <w:szCs w:val="24"/>
        </w:rPr>
        <w:t>ей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, таки</w:t>
      </w:r>
      <w:r w:rsidRPr="00145214">
        <w:rPr>
          <w:rFonts w:ascii="Times New Roman" w:hAnsi="Times New Roman"/>
          <w:color w:val="000000"/>
          <w:sz w:val="24"/>
          <w:szCs w:val="24"/>
        </w:rPr>
        <w:t>х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 xml:space="preserve"> как расходы по проектированию производства работ, плат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е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 xml:space="preserve">жи по кредитам банков, </w:t>
      </w:r>
      <w:r w:rsidR="00B35B90" w:rsidRPr="00145214">
        <w:rPr>
          <w:rFonts w:ascii="Times New Roman" w:hAnsi="Times New Roman"/>
          <w:color w:val="000000"/>
          <w:sz w:val="24"/>
          <w:szCs w:val="24"/>
        </w:rPr>
        <w:t xml:space="preserve">расходы при участии в конкурсных процедурах, обеспечение деятельности генерального подрядчика, затраты по организации всего комплекса работ при </w:t>
      </w:r>
      <w:r w:rsidR="00774A39" w:rsidRPr="00145214">
        <w:rPr>
          <w:rFonts w:ascii="Times New Roman" w:hAnsi="Times New Roman"/>
          <w:color w:val="000000"/>
          <w:sz w:val="24"/>
          <w:szCs w:val="24"/>
        </w:rPr>
        <w:t>реализации контрактов жизненного цикла или «под ключ»,</w:t>
      </w:r>
      <w:r w:rsidR="00126F78" w:rsidRPr="00145214">
        <w:rPr>
          <w:rFonts w:ascii="Times New Roman" w:hAnsi="Times New Roman"/>
          <w:color w:val="000000"/>
          <w:sz w:val="24"/>
          <w:szCs w:val="24"/>
        </w:rPr>
        <w:t xml:space="preserve"> расходы на страхование</w:t>
      </w:r>
      <w:r w:rsidR="00774A39" w:rsidRPr="00145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а также исключение</w:t>
      </w:r>
      <w:r w:rsidR="008C1DFF" w:rsidRPr="00145214">
        <w:rPr>
          <w:rFonts w:ascii="Times New Roman" w:hAnsi="Times New Roman"/>
          <w:color w:val="000000"/>
          <w:sz w:val="24"/>
          <w:szCs w:val="24"/>
        </w:rPr>
        <w:t xml:space="preserve"> в Методике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 xml:space="preserve"> из состава нормируемых НР ряда связанных со строительством статей</w:t>
      </w:r>
      <w:r w:rsidR="001B1DF7" w:rsidRPr="00145214">
        <w:rPr>
          <w:rFonts w:ascii="Times New Roman" w:hAnsi="Times New Roman"/>
          <w:color w:val="000000"/>
          <w:sz w:val="24"/>
          <w:szCs w:val="24"/>
        </w:rPr>
        <w:t>, в том числе: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1DF7" w:rsidRPr="00145214" w:rsidRDefault="001B1DF7" w:rsidP="00551095">
      <w:pPr>
        <w:pStyle w:val="ListParagraph"/>
        <w:numPr>
          <w:ilvl w:val="0"/>
          <w:numId w:val="1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отчисления, производимые структурными подразделениями на содержание аппарата управления</w:t>
      </w:r>
    </w:p>
    <w:p w:rsidR="00220B69" w:rsidRPr="00145214" w:rsidRDefault="00220B69" w:rsidP="000F43BB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расходы по нормативным работам,</w:t>
      </w:r>
    </w:p>
    <w:p w:rsidR="00220B69" w:rsidRPr="00145214" w:rsidRDefault="00220B69" w:rsidP="000F43BB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расходы, связанные с изобретательством и рационализаторством,</w:t>
      </w:r>
    </w:p>
    <w:p w:rsidR="008C1DFF" w:rsidRPr="00145214" w:rsidRDefault="00220B69" w:rsidP="000F43BB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расходы по подготовке объектов строительства к сдаче</w:t>
      </w:r>
    </w:p>
    <w:p w:rsidR="00220B69" w:rsidRPr="00145214" w:rsidRDefault="001B1DF7" w:rsidP="000F43BB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 xml:space="preserve">оплата услуг банков и </w:t>
      </w:r>
      <w:r w:rsidR="008C1DFF" w:rsidRPr="00145214">
        <w:rPr>
          <w:rFonts w:ascii="Times New Roman" w:hAnsi="Times New Roman"/>
          <w:color w:val="000000"/>
          <w:sz w:val="24"/>
          <w:szCs w:val="24"/>
        </w:rPr>
        <w:t>платежи по кредитам</w:t>
      </w:r>
      <w:r w:rsidR="00220B69" w:rsidRPr="00145214">
        <w:rPr>
          <w:rFonts w:ascii="Times New Roman" w:hAnsi="Times New Roman"/>
          <w:color w:val="000000"/>
          <w:sz w:val="24"/>
          <w:szCs w:val="24"/>
        </w:rPr>
        <w:t>.</w:t>
      </w:r>
    </w:p>
    <w:p w:rsidR="00220B69" w:rsidRPr="00145214" w:rsidRDefault="00220B69" w:rsidP="000F43BB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Большой проблемой в настоящее время является новая для подрядных организаций ст</w:t>
      </w: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color w:val="000000"/>
          <w:sz w:val="24"/>
          <w:szCs w:val="24"/>
        </w:rPr>
        <w:t>тья затрат, связанная с банковскими услугами по предоставлению безотзывной банковской гарантии для обеспечения исполнения гос</w:t>
      </w:r>
      <w:r w:rsidRPr="00145214">
        <w:rPr>
          <w:rFonts w:ascii="Times New Roman" w:hAnsi="Times New Roman"/>
          <w:color w:val="000000"/>
          <w:sz w:val="24"/>
          <w:szCs w:val="24"/>
        </w:rPr>
        <w:t>у</w:t>
      </w:r>
      <w:r w:rsidRPr="00145214">
        <w:rPr>
          <w:rFonts w:ascii="Times New Roman" w:hAnsi="Times New Roman"/>
          <w:color w:val="000000"/>
          <w:sz w:val="24"/>
          <w:szCs w:val="24"/>
        </w:rPr>
        <w:t>дарственного контракта. Эти затраты объективно возникают из условий бюджетного ф</w:t>
      </w:r>
      <w:r w:rsidRPr="00145214">
        <w:rPr>
          <w:rFonts w:ascii="Times New Roman" w:hAnsi="Times New Roman"/>
          <w:color w:val="000000"/>
          <w:sz w:val="24"/>
          <w:szCs w:val="24"/>
        </w:rPr>
        <w:t>и</w:t>
      </w:r>
      <w:r w:rsidRPr="00145214">
        <w:rPr>
          <w:rFonts w:ascii="Times New Roman" w:hAnsi="Times New Roman"/>
          <w:color w:val="000000"/>
          <w:sz w:val="24"/>
          <w:szCs w:val="24"/>
        </w:rPr>
        <w:t>нансирования, однако ни одной методикой не предусмотрено их покрытие за счет сметной стоимости строительства. Значит, да</w:t>
      </w:r>
      <w:r w:rsidRPr="00145214">
        <w:rPr>
          <w:rFonts w:ascii="Times New Roman" w:hAnsi="Times New Roman"/>
          <w:color w:val="000000"/>
          <w:sz w:val="24"/>
          <w:szCs w:val="24"/>
        </w:rPr>
        <w:t>н</w:t>
      </w:r>
      <w:r w:rsidRPr="00145214">
        <w:rPr>
          <w:rFonts w:ascii="Times New Roman" w:hAnsi="Times New Roman"/>
          <w:color w:val="000000"/>
          <w:sz w:val="24"/>
          <w:szCs w:val="24"/>
        </w:rPr>
        <w:t>ные затраты предопределяют потребность в дополнительных финансовых ресурсах, не обеспеченных соответствующими источник</w:t>
      </w:r>
      <w:r w:rsidRPr="00145214">
        <w:rPr>
          <w:rFonts w:ascii="Times New Roman" w:hAnsi="Times New Roman"/>
          <w:color w:val="000000"/>
          <w:sz w:val="24"/>
          <w:szCs w:val="24"/>
        </w:rPr>
        <w:t>а</w:t>
      </w:r>
      <w:r w:rsidRPr="00145214">
        <w:rPr>
          <w:rFonts w:ascii="Times New Roman" w:hAnsi="Times New Roman"/>
          <w:color w:val="000000"/>
          <w:sz w:val="24"/>
          <w:szCs w:val="24"/>
        </w:rPr>
        <w:t>ми.</w:t>
      </w:r>
    </w:p>
    <w:p w:rsidR="00220B69" w:rsidRPr="00A11EF4" w:rsidRDefault="00220B69" w:rsidP="000F43BB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Требует дополнительного изучения и вопрос обоснованности принятого Методикой сп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соба расчета сметных накладных расходов, исходя из величины сметных затрат на оплату труда основных рабочих.</w:t>
      </w:r>
    </w:p>
    <w:p w:rsidR="001B1DF7" w:rsidRPr="00A11EF4" w:rsidRDefault="00220B69" w:rsidP="001B1DF7">
      <w:pPr>
        <w:tabs>
          <w:tab w:val="left" w:pos="1080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 Анализ фактических НР выявил высокий разброс процента НР и слабую завис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>мость накладных расходов от ФОТ. Это хорошо видно на рис.</w:t>
      </w:r>
      <w:r w:rsidR="001B1DF7" w:rsidRPr="00A11EF4">
        <w:rPr>
          <w:rFonts w:ascii="Times New Roman" w:hAnsi="Times New Roman"/>
          <w:color w:val="000000"/>
          <w:sz w:val="24"/>
          <w:szCs w:val="24"/>
        </w:rPr>
        <w:t>2</w:t>
      </w:r>
      <w:r w:rsidRPr="00A11EF4">
        <w:rPr>
          <w:rFonts w:ascii="Times New Roman" w:hAnsi="Times New Roman"/>
          <w:color w:val="000000"/>
          <w:sz w:val="24"/>
          <w:szCs w:val="24"/>
        </w:rPr>
        <w:t>, где приведены</w:t>
      </w:r>
      <w:r w:rsidR="001B1DF7" w:rsidRPr="00A11EF4">
        <w:rPr>
          <w:rFonts w:ascii="Times New Roman" w:hAnsi="Times New Roman"/>
          <w:color w:val="000000"/>
          <w:sz w:val="24"/>
          <w:szCs w:val="24"/>
        </w:rPr>
        <w:t xml:space="preserve"> доли НР и ФОТ основных рабочих в выручке.</w:t>
      </w:r>
    </w:p>
    <w:p w:rsidR="001B1DF7" w:rsidRPr="00A11EF4" w:rsidRDefault="00491E3B" w:rsidP="00551095">
      <w:pPr>
        <w:spacing w:before="120"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F08E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330700" cy="2113280"/>
            <wp:effectExtent l="0" t="0" r="0" b="0"/>
            <wp:docPr id="3" name="Рисунок 3" descr="Рис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-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F7" w:rsidRPr="00A11EF4" w:rsidRDefault="001B1DF7" w:rsidP="00860FFA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B69" w:rsidRPr="00A11EF4" w:rsidRDefault="00220B69" w:rsidP="00860FFA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Из приведенных на рис.</w:t>
      </w:r>
      <w:r w:rsidR="001B1DF7" w:rsidRPr="00A11EF4">
        <w:rPr>
          <w:rFonts w:ascii="Times New Roman" w:hAnsi="Times New Roman"/>
          <w:color w:val="000000"/>
          <w:sz w:val="24"/>
          <w:szCs w:val="24"/>
        </w:rPr>
        <w:t>2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данных следует:</w:t>
      </w:r>
    </w:p>
    <w:p w:rsidR="00220B69" w:rsidRPr="00A11EF4" w:rsidRDefault="00220B69" w:rsidP="00860FFA">
      <w:pPr>
        <w:numPr>
          <w:ilvl w:val="1"/>
          <w:numId w:val="14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НР и ФОТ изменяются не пропорционально; ФОТ может уменьшаться, НР или остаю</w:t>
      </w:r>
      <w:r w:rsidRPr="00A11EF4">
        <w:rPr>
          <w:rFonts w:ascii="Times New Roman" w:hAnsi="Times New Roman"/>
          <w:color w:val="000000"/>
          <w:sz w:val="24"/>
          <w:szCs w:val="24"/>
        </w:rPr>
        <w:t>т</w:t>
      </w:r>
      <w:r w:rsidRPr="00A11EF4">
        <w:rPr>
          <w:rFonts w:ascii="Times New Roman" w:hAnsi="Times New Roman"/>
          <w:color w:val="000000"/>
          <w:sz w:val="24"/>
          <w:szCs w:val="24"/>
        </w:rPr>
        <w:t>ся на том же уровне, или даже увеличиваются;</w:t>
      </w:r>
    </w:p>
    <w:p w:rsidR="00220B69" w:rsidRPr="00A11EF4" w:rsidRDefault="00220B69" w:rsidP="00860FFA">
      <w:pPr>
        <w:numPr>
          <w:ilvl w:val="1"/>
          <w:numId w:val="14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с уменьшением объема выручки доля НР в ней растет быстрее, чем доля ФОТ; </w:t>
      </w:r>
    </w:p>
    <w:p w:rsidR="00220B69" w:rsidRPr="00A11EF4" w:rsidRDefault="00220B69" w:rsidP="00860FFA">
      <w:pPr>
        <w:numPr>
          <w:ilvl w:val="1"/>
          <w:numId w:val="14"/>
        </w:numPr>
        <w:tabs>
          <w:tab w:val="left" w:pos="1080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имеется зависимость темпа изменения доли ФОТ и доли НР в выручке от ма</w:t>
      </w:r>
      <w:r w:rsidRPr="00A11EF4">
        <w:rPr>
          <w:rFonts w:ascii="Times New Roman" w:hAnsi="Times New Roman"/>
          <w:color w:val="000000"/>
          <w:sz w:val="24"/>
          <w:szCs w:val="24"/>
        </w:rPr>
        <w:t>с</w:t>
      </w:r>
      <w:r w:rsidRPr="00A11EF4">
        <w:rPr>
          <w:rFonts w:ascii="Times New Roman" w:hAnsi="Times New Roman"/>
          <w:color w:val="000000"/>
          <w:sz w:val="24"/>
          <w:szCs w:val="24"/>
        </w:rPr>
        <w:t>штаба компании.</w:t>
      </w:r>
    </w:p>
    <w:p w:rsidR="00220B69" w:rsidRPr="00A11EF4" w:rsidRDefault="00220B69" w:rsidP="00860FFA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Это свидетельствует о том, что, если НР рассчитываются от ФОТ основных раб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чих, то для строительных проектов разного масштаба нормативы НР должны отличаться.</w:t>
      </w:r>
    </w:p>
    <w:p w:rsidR="00696DE8" w:rsidRPr="00A11EF4" w:rsidRDefault="00696DE8" w:rsidP="00860FFA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6DE8" w:rsidRPr="00A11EF4" w:rsidRDefault="00696DE8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  <w:sectPr w:rsidR="00696DE8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168F" w:rsidRPr="00A11EF4" w:rsidRDefault="002B168F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1" w:name="_Toc527914219"/>
      <w:r w:rsidRPr="00A11EF4">
        <w:rPr>
          <w:rFonts w:ascii="Times New Roman" w:hAnsi="Times New Roman"/>
          <w:b/>
          <w:color w:val="000000"/>
          <w:sz w:val="28"/>
          <w:szCs w:val="28"/>
        </w:rPr>
        <w:t>Выводы</w:t>
      </w:r>
      <w:bookmarkEnd w:id="11"/>
    </w:p>
    <w:p w:rsidR="002B168F" w:rsidRPr="00A11EF4" w:rsidRDefault="002B168F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 xml:space="preserve">анализа </w:t>
      </w:r>
      <w:r w:rsidRPr="00A11EF4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 xml:space="preserve"> НР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в проекте «Методики определения величины накладных расходов в строительстве» 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 xml:space="preserve">и сравнения их уровня </w:t>
      </w:r>
      <w:r w:rsidRPr="00A11EF4">
        <w:rPr>
          <w:rFonts w:ascii="Times New Roman" w:hAnsi="Times New Roman"/>
          <w:color w:val="000000"/>
          <w:sz w:val="24"/>
          <w:szCs w:val="24"/>
        </w:rPr>
        <w:t>с данными Росстата и строительных компаний сл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дует: </w:t>
      </w:r>
    </w:p>
    <w:p w:rsidR="00320EBC" w:rsidRPr="00A11EF4" w:rsidRDefault="002B168F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OLE_LINK7"/>
      <w:r w:rsidRPr="00A11EF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320EBC" w:rsidRPr="00A11EF4">
        <w:rPr>
          <w:rFonts w:ascii="Times New Roman" w:hAnsi="Times New Roman"/>
          <w:color w:val="000000"/>
          <w:sz w:val="24"/>
          <w:szCs w:val="24"/>
        </w:rPr>
        <w:t>Несопоставимы оценки ФОТ в структуре нормативов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 xml:space="preserve"> НР</w:t>
      </w:r>
      <w:r w:rsidR="00320EBC" w:rsidRPr="00A11EF4">
        <w:rPr>
          <w:rFonts w:ascii="Times New Roman" w:hAnsi="Times New Roman"/>
          <w:color w:val="000000"/>
          <w:sz w:val="24"/>
          <w:szCs w:val="24"/>
        </w:rPr>
        <w:t>: ФОТ, относимый на прямые затраты, отражен по оценке в целом по РФ; ФОТ, относимый на НР, у</w:t>
      </w:r>
      <w:r w:rsidR="00320EBC" w:rsidRPr="00A11EF4">
        <w:rPr>
          <w:rFonts w:ascii="Times New Roman" w:hAnsi="Times New Roman"/>
          <w:color w:val="000000"/>
          <w:sz w:val="24"/>
          <w:szCs w:val="24"/>
        </w:rPr>
        <w:t>ч</w:t>
      </w:r>
      <w:r w:rsidR="00320EBC" w:rsidRPr="00A11EF4">
        <w:rPr>
          <w:rFonts w:ascii="Times New Roman" w:hAnsi="Times New Roman"/>
          <w:color w:val="000000"/>
          <w:sz w:val="24"/>
          <w:szCs w:val="24"/>
        </w:rPr>
        <w:t>тен на уровне, сложившемся в строительстве.</w:t>
      </w:r>
    </w:p>
    <w:p w:rsidR="002B168F" w:rsidRPr="00A11EF4" w:rsidRDefault="002B168F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>С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ущественно занижена 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>в</w:t>
      </w:r>
      <w:r w:rsidRPr="00A11EF4">
        <w:rPr>
          <w:rFonts w:ascii="Times New Roman" w:hAnsi="Times New Roman"/>
          <w:color w:val="000000"/>
          <w:sz w:val="24"/>
          <w:szCs w:val="24"/>
        </w:rPr>
        <w:t>еличина</w:t>
      </w:r>
      <w:r w:rsidR="007769F6" w:rsidRPr="00A11EF4">
        <w:rPr>
          <w:rFonts w:ascii="Times New Roman" w:hAnsi="Times New Roman"/>
          <w:color w:val="000000"/>
          <w:sz w:val="24"/>
          <w:szCs w:val="24"/>
        </w:rPr>
        <w:t xml:space="preserve"> нормативов НР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из-за необоснованного исключения из их состава ряда статей, предусмотренных самой Метод</w:t>
      </w:r>
      <w:r w:rsidRPr="00A11EF4">
        <w:rPr>
          <w:rFonts w:ascii="Times New Roman" w:hAnsi="Times New Roman"/>
          <w:color w:val="000000"/>
          <w:sz w:val="24"/>
          <w:szCs w:val="24"/>
        </w:rPr>
        <w:t>и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кой. </w:t>
      </w:r>
    </w:p>
    <w:p w:rsidR="007769F6" w:rsidRPr="00A11EF4" w:rsidRDefault="007769F6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3. В значительной степени занижена в целом величина норматива НР за счет н</w:t>
      </w:r>
      <w:r w:rsidRPr="00A11EF4">
        <w:rPr>
          <w:rFonts w:ascii="Times New Roman" w:hAnsi="Times New Roman"/>
          <w:color w:val="000000"/>
          <w:sz w:val="24"/>
          <w:szCs w:val="24"/>
        </w:rPr>
        <w:t>е</w:t>
      </w:r>
      <w:r w:rsidRPr="00A11EF4">
        <w:rPr>
          <w:rFonts w:ascii="Times New Roman" w:hAnsi="Times New Roman"/>
          <w:color w:val="000000"/>
          <w:sz w:val="24"/>
          <w:szCs w:val="24"/>
        </w:rPr>
        <w:t>обоснованного завышения ФОТ, относимого на прямые затраты. Данное обстоятельство, кроме того, повлекло несопоставимость нормативов по показателю ФОТ с базой, от кот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>рой должны рассчитываться накладные расходы в смете</w:t>
      </w:r>
      <w:r w:rsidR="00C32DE7" w:rsidRPr="00A11EF4">
        <w:rPr>
          <w:rFonts w:ascii="Times New Roman" w:hAnsi="Times New Roman"/>
          <w:color w:val="000000"/>
          <w:sz w:val="24"/>
          <w:szCs w:val="24"/>
        </w:rPr>
        <w:t>,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– оплатой труда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 xml:space="preserve"> основных р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b/>
          <w:color w:val="000000"/>
          <w:sz w:val="24"/>
          <w:szCs w:val="24"/>
        </w:rPr>
        <w:t>бочих.</w:t>
      </w:r>
    </w:p>
    <w:bookmarkEnd w:id="12"/>
    <w:p w:rsidR="002B168F" w:rsidRPr="00A11EF4" w:rsidRDefault="00C32DE7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4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. Предлагаемые Методикой нормативы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 НР,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 xml:space="preserve"> как минимум</w:t>
      </w:r>
      <w:r w:rsidRPr="00A11EF4">
        <w:rPr>
          <w:rFonts w:ascii="Times New Roman" w:hAnsi="Times New Roman"/>
          <w:color w:val="000000"/>
          <w:sz w:val="24"/>
          <w:szCs w:val="24"/>
        </w:rPr>
        <w:t>,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 xml:space="preserve"> вдвое ниже среднео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т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раслевых показателей, отражающих соотношение накладных расходов и затрат на оплату труда основных рабочих, а также уровня нормативов в действу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ю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 xml:space="preserve">щем МДС 81-33.2004. </w:t>
      </w:r>
    </w:p>
    <w:p w:rsidR="002B168F" w:rsidRPr="00A11EF4" w:rsidRDefault="00C32DE7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5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. Снижение нормативов в Методике по сравнению с уровнем, закрепленном в действу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ю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щем МДС 81-33.2004 и сложившимся в отрасли, не обосновано, особенно с учетом значительного изменения отраслевой структуры оплаты труда вследствие научно-технического прогресса. Указанное изменение из-за снижения доли оплаты труда осно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в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ных рабочих влечет автоматический рост процента накладных расходов, что является объективным обстоятельством, которое должно браться в расчет при установлении но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р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мативов для расчета сметной стоимости строительства.</w:t>
      </w:r>
    </w:p>
    <w:p w:rsidR="002B168F" w:rsidRPr="00A11EF4" w:rsidRDefault="00C32DE7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214">
        <w:rPr>
          <w:rFonts w:ascii="Times New Roman" w:hAnsi="Times New Roman"/>
          <w:color w:val="000000"/>
          <w:sz w:val="24"/>
          <w:szCs w:val="24"/>
        </w:rPr>
        <w:t>6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2CA" w:rsidRPr="00145214">
        <w:rPr>
          <w:rFonts w:ascii="Times New Roman" w:hAnsi="Times New Roman"/>
          <w:color w:val="000000"/>
          <w:sz w:val="24"/>
          <w:szCs w:val="24"/>
        </w:rPr>
        <w:t>В компаниях, занятых инфраструктурным строительством, фактический процент накладных расходов в 2-3 раза выше, чем уровень норм</w:t>
      </w:r>
      <w:r w:rsidR="001842CA" w:rsidRPr="00145214">
        <w:rPr>
          <w:rFonts w:ascii="Times New Roman" w:hAnsi="Times New Roman"/>
          <w:color w:val="000000"/>
          <w:sz w:val="24"/>
          <w:szCs w:val="24"/>
        </w:rPr>
        <w:t>а</w:t>
      </w:r>
      <w:r w:rsidR="001842CA" w:rsidRPr="00145214">
        <w:rPr>
          <w:rFonts w:ascii="Times New Roman" w:hAnsi="Times New Roman"/>
          <w:color w:val="000000"/>
          <w:sz w:val="24"/>
          <w:szCs w:val="24"/>
        </w:rPr>
        <w:t xml:space="preserve">тивов НР в Методике. В составе накладных расходов таких компаний 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имеется ряд затрат, возникновение которых связано с введением новых правил бюджетного финанс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и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рования госзаказа и которые не учтены Методикой. Например, затраты на оплату услуг по предоставлению безотзывной банковской гарантии для обеспечения исполнения госуда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р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ственного контракта, повышение затрат на обслуживание заемного финансирования. Т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а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кие затраты необходимо включить в состав нормируемых, иначе, т.к. они не предусмотр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е</w:t>
      </w:r>
      <w:r w:rsidR="002B168F" w:rsidRPr="00145214">
        <w:rPr>
          <w:rFonts w:ascii="Times New Roman" w:hAnsi="Times New Roman"/>
          <w:color w:val="000000"/>
          <w:sz w:val="24"/>
          <w:szCs w:val="24"/>
        </w:rPr>
        <w:t>ны проектом Методики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 xml:space="preserve"> определения сметной прибыли, у подрядных организаций не б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у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дет источника покрытия таких затрат.</w:t>
      </w:r>
    </w:p>
    <w:p w:rsidR="002B168F" w:rsidRPr="00A11EF4" w:rsidRDefault="00C32DE7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7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. Не обоснован принятый Методикой способ расчета накладных расходов, исходя из в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е</w:t>
      </w:r>
      <w:r w:rsidR="002B168F" w:rsidRPr="00A11EF4">
        <w:rPr>
          <w:rFonts w:ascii="Times New Roman" w:hAnsi="Times New Roman"/>
          <w:color w:val="000000"/>
          <w:sz w:val="24"/>
          <w:szCs w:val="24"/>
        </w:rPr>
        <w:t>личины сметных затрат на оплату труда. Анализ фактических данных выявил слабую зависимость накладных расходов от ФОТ основных рабочих.</w:t>
      </w:r>
    </w:p>
    <w:p w:rsidR="002B168F" w:rsidRPr="00A11EF4" w:rsidRDefault="002B168F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В век тотальной механизации, автоматизации, компьютеризации производства из него в</w:t>
      </w:r>
      <w:r w:rsidRPr="00A11EF4">
        <w:rPr>
          <w:rFonts w:ascii="Times New Roman" w:hAnsi="Times New Roman"/>
          <w:color w:val="000000"/>
          <w:sz w:val="24"/>
          <w:szCs w:val="24"/>
        </w:rPr>
        <w:t>ы</w:t>
      </w:r>
      <w:r w:rsidRPr="00A11EF4">
        <w:rPr>
          <w:rFonts w:ascii="Times New Roman" w:hAnsi="Times New Roman"/>
          <w:color w:val="000000"/>
          <w:sz w:val="24"/>
          <w:szCs w:val="24"/>
        </w:rPr>
        <w:t>тесняется тяжелый человеческий труд. Доля интеллектуального труда возрастает. Ориентация при формировании НР только на оплату труда основных рабочих не соотве</w:t>
      </w:r>
      <w:r w:rsidRPr="00A11EF4">
        <w:rPr>
          <w:rFonts w:ascii="Times New Roman" w:hAnsi="Times New Roman"/>
          <w:color w:val="000000"/>
          <w:sz w:val="24"/>
          <w:szCs w:val="24"/>
        </w:rPr>
        <w:t>т</w:t>
      </w:r>
      <w:r w:rsidRPr="00A11EF4">
        <w:rPr>
          <w:rFonts w:ascii="Times New Roman" w:hAnsi="Times New Roman"/>
          <w:color w:val="000000"/>
          <w:sz w:val="24"/>
          <w:szCs w:val="24"/>
        </w:rPr>
        <w:t>ствует логике научно-технического прогресса и не мотивирует строительный бизнес на использование его результатов.</w:t>
      </w:r>
    </w:p>
    <w:p w:rsidR="002B168F" w:rsidRPr="00A11EF4" w:rsidRDefault="002B168F" w:rsidP="00C32DE7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EF4">
        <w:rPr>
          <w:rFonts w:ascii="Times New Roman" w:hAnsi="Times New Roman"/>
          <w:b/>
          <w:color w:val="000000"/>
          <w:sz w:val="24"/>
          <w:szCs w:val="24"/>
        </w:rPr>
        <w:t>В связи с вышесказанным представляется целесообразным:</w:t>
      </w:r>
    </w:p>
    <w:p w:rsidR="002B168F" w:rsidRPr="00A11EF4" w:rsidRDefault="002B168F" w:rsidP="00C32DE7">
      <w:pPr>
        <w:numPr>
          <w:ilvl w:val="1"/>
          <w:numId w:val="16"/>
        </w:numPr>
        <w:tabs>
          <w:tab w:val="clear" w:pos="2149"/>
          <w:tab w:val="num" w:pos="1080"/>
        </w:tabs>
        <w:spacing w:before="240" w:after="24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>Привести нормативы НР к уровню, отвечающему современным рыночным ре</w:t>
      </w:r>
      <w:r w:rsidRPr="00A11EF4">
        <w:rPr>
          <w:rFonts w:ascii="Times New Roman" w:hAnsi="Times New Roman"/>
          <w:color w:val="000000"/>
          <w:sz w:val="24"/>
          <w:szCs w:val="24"/>
        </w:rPr>
        <w:t>а</w:t>
      </w:r>
      <w:r w:rsidRPr="00A11EF4">
        <w:rPr>
          <w:rFonts w:ascii="Times New Roman" w:hAnsi="Times New Roman"/>
          <w:color w:val="000000"/>
          <w:sz w:val="24"/>
          <w:szCs w:val="24"/>
        </w:rPr>
        <w:t>лиям. Накладные расходы – тоже ресурс, без которого невозможны ни организация строительного пр</w:t>
      </w:r>
      <w:r w:rsidRPr="00A11EF4">
        <w:rPr>
          <w:rFonts w:ascii="Times New Roman" w:hAnsi="Times New Roman"/>
          <w:color w:val="000000"/>
          <w:sz w:val="24"/>
          <w:szCs w:val="24"/>
        </w:rPr>
        <w:t>о</w:t>
      </w:r>
      <w:r w:rsidRPr="00A11EF4">
        <w:rPr>
          <w:rFonts w:ascii="Times New Roman" w:hAnsi="Times New Roman"/>
          <w:color w:val="000000"/>
          <w:sz w:val="24"/>
          <w:szCs w:val="24"/>
        </w:rPr>
        <w:t xml:space="preserve">цесса, ни управление им. И этот ресурс, как и другие строительные ресурсы, имеет рыночную стоимость. </w:t>
      </w:r>
    </w:p>
    <w:p w:rsidR="002B168F" w:rsidRPr="00A11EF4" w:rsidRDefault="002B168F" w:rsidP="00C32DE7">
      <w:pPr>
        <w:numPr>
          <w:ilvl w:val="1"/>
          <w:numId w:val="16"/>
        </w:numPr>
        <w:tabs>
          <w:tab w:val="clear" w:pos="2149"/>
          <w:tab w:val="num" w:pos="1080"/>
        </w:tabs>
        <w:spacing w:before="240" w:after="24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EF4">
        <w:rPr>
          <w:rFonts w:ascii="Times New Roman" w:hAnsi="Times New Roman"/>
          <w:color w:val="000000"/>
          <w:sz w:val="24"/>
          <w:szCs w:val="24"/>
        </w:rPr>
        <w:t xml:space="preserve">Дифференцировать базу для определения НР: расходы, не зависящие от ФОТ основных рабочих, должны рассчитываться, исходя из иных параметров сметы. </w:t>
      </w:r>
    </w:p>
    <w:p w:rsidR="0025149A" w:rsidRPr="00A11EF4" w:rsidRDefault="0025149A" w:rsidP="00993767">
      <w:pPr>
        <w:spacing w:before="240"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3767" w:rsidRPr="00A11EF4" w:rsidRDefault="00993767" w:rsidP="00993767">
      <w:pPr>
        <w:spacing w:before="240"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3767" w:rsidRPr="00A11EF4" w:rsidRDefault="00993767" w:rsidP="00993767">
      <w:pPr>
        <w:spacing w:before="240"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2044" w:rsidRPr="00A11EF4" w:rsidRDefault="00A42044" w:rsidP="00A42044">
      <w:pPr>
        <w:spacing w:before="120" w:after="120"/>
        <w:ind w:firstLine="709"/>
        <w:jc w:val="both"/>
        <w:rPr>
          <w:color w:val="000000"/>
        </w:rPr>
        <w:sectPr w:rsidR="00A42044" w:rsidRPr="00A11EF4" w:rsidSect="00C946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2044" w:rsidRPr="00A11EF4" w:rsidRDefault="00A42044" w:rsidP="00C32DE7">
      <w:pPr>
        <w:spacing w:before="240" w:after="24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3" w:name="_Toc527914220"/>
      <w:r w:rsidRPr="00A11EF4">
        <w:rPr>
          <w:rFonts w:ascii="Times New Roman" w:hAnsi="Times New Roman"/>
          <w:b/>
          <w:color w:val="000000"/>
          <w:sz w:val="28"/>
          <w:szCs w:val="28"/>
        </w:rPr>
        <w:t>Приложения</w:t>
      </w:r>
      <w:bookmarkEnd w:id="13"/>
    </w:p>
    <w:p w:rsidR="00A42044" w:rsidRPr="00A11EF4" w:rsidRDefault="00A42044" w:rsidP="00491E3B">
      <w:pPr>
        <w:spacing w:after="0" w:line="240" w:lineRule="auto"/>
        <w:jc w:val="both"/>
        <w:outlineLvl w:val="1"/>
        <w:rPr>
          <w:rFonts w:ascii="Times New Roman" w:hAnsi="Times New Roman"/>
          <w:color w:val="000000"/>
        </w:rPr>
      </w:pPr>
      <w:r w:rsidRPr="00A11EF4">
        <w:rPr>
          <w:rFonts w:ascii="Times New Roman" w:hAnsi="Times New Roman"/>
          <w:b/>
          <w:color w:val="000000"/>
          <w:sz w:val="28"/>
          <w:szCs w:val="28"/>
        </w:rPr>
        <w:t>Приложение 1</w:t>
      </w:r>
      <w:r w:rsidRPr="00A11EF4">
        <w:rPr>
          <w:rFonts w:ascii="Times New Roman" w:hAnsi="Times New Roman"/>
          <w:color w:val="000000"/>
        </w:rPr>
        <w:t>. Данные Росстата по форме 5-</w:t>
      </w:r>
      <w:r w:rsidR="002A48A6" w:rsidRPr="00A11EF4">
        <w:rPr>
          <w:rFonts w:ascii="Times New Roman" w:hAnsi="Times New Roman"/>
          <w:color w:val="000000"/>
        </w:rPr>
        <w:t>з</w:t>
      </w:r>
      <w:r w:rsidRPr="00A11EF4">
        <w:rPr>
          <w:rFonts w:ascii="Times New Roman" w:hAnsi="Times New Roman"/>
          <w:color w:val="000000"/>
        </w:rPr>
        <w:t xml:space="preserve"> «Сведения о затратах на производство и продажу продукции (товаров, работ, услуг)» </w:t>
      </w:r>
    </w:p>
    <w:p w:rsidR="00A42044" w:rsidRPr="00A11EF4" w:rsidRDefault="00A42044" w:rsidP="000415F3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A11EF4">
        <w:rPr>
          <w:rFonts w:ascii="Times New Roman" w:hAnsi="Times New Roman"/>
          <w:color w:val="000000"/>
        </w:rPr>
        <w:t>в сумме за 9 мес. 2016 года и 1 кв. 2017 г., млн. руб.</w:t>
      </w:r>
    </w:p>
    <w:tbl>
      <w:tblPr>
        <w:tblW w:w="146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948"/>
        <w:gridCol w:w="948"/>
        <w:gridCol w:w="949"/>
        <w:gridCol w:w="948"/>
        <w:gridCol w:w="949"/>
        <w:gridCol w:w="949"/>
        <w:gridCol w:w="948"/>
        <w:gridCol w:w="949"/>
        <w:gridCol w:w="948"/>
        <w:gridCol w:w="949"/>
        <w:gridCol w:w="948"/>
        <w:gridCol w:w="949"/>
      </w:tblGrid>
      <w:tr w:rsidR="00A42044" w:rsidRPr="00A11EF4" w:rsidTr="000415F3">
        <w:trPr>
          <w:trHeight w:val="227"/>
          <w:tblHeader/>
        </w:trPr>
        <w:tc>
          <w:tcPr>
            <w:tcW w:w="324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Регион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Выпуск товаров и услуг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Затраты на произво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Материал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ные затр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Затраты на оплату тр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и</w:t>
            </w:r>
            <w:r w:rsidRPr="00A11EF4"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 xml:space="preserve">з </w:t>
            </w:r>
            <w:r w:rsidRPr="00A11E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них: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Страховые взносы в ПФ, ФСС, ФОМС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Амортиз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ция осно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ных средств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Прочие затраты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color w:val="000000"/>
                <w:sz w:val="18"/>
                <w:szCs w:val="18"/>
              </w:rPr>
              <w:t>в т.ч. Арендная плата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Итого НР,</w:t>
            </w:r>
          </w:p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(7+8+10-11) 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Процент НР,</w:t>
            </w:r>
          </w:p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(12/6*100)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рабочих*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11E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прочего персонала*</w:t>
            </w: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94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Российская Федерация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2 027 730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1 920 811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1 182 141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407 296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240 305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166 991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112 742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62 531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156 101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58 517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377 317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157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Центральный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645 565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559 953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319 726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131 268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77 448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53 820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33 605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16 615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58 739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20 819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125 346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162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tabs>
                <w:tab w:val="left" w:pos="79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Московская область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109 922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103 876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73 809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15 358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9 061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6 297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4 439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2 752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7 517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3 728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14 524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160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tabs>
                <w:tab w:val="left" w:pos="79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г.Москва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408 110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337 133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166 124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93 889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55 394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38 494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22 711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10 153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44 256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14 478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90 984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164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Северо-Западный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316 256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319 807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215 679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57 021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33 642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23 379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15 674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10 333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21 100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6 416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53 736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160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Ленинградская область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47 711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39 355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22 720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9 724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5 737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3 987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2 600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1 013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3 298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699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9 186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160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г.Санкт-Петербург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227 584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235 011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165 713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36 842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21 737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15 105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9 984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7 954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14 518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3 982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35 625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164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Южный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137 530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136 070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88 378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25 926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15 296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10 630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7 617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4 351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9 798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3 812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24 232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158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Северо-Кавказский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20 105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21 207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15 017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2 435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1 436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998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686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863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2 206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3 736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260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Приволжский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328 296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310 693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199 330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60 738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35 835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24 902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17 325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10 854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22 447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8 728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55 947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156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Уральский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283 889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282 814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166 413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64 372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37 979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26 393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19 072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8 635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24 322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11 133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58 654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154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Сибирский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190 557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171 433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103 691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39 501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23 306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16 196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11 857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6 004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10 380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4 699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33 733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145</w:t>
            </w:r>
          </w:p>
        </w:tc>
      </w:tr>
      <w:tr w:rsidR="00A42044" w:rsidRPr="00A11EF4" w:rsidTr="000415F3">
        <w:trPr>
          <w:trHeight w:val="227"/>
        </w:trPr>
        <w:tc>
          <w:tcPr>
            <w:tcW w:w="3244" w:type="dxa"/>
            <w:shd w:val="clear" w:color="auto" w:fill="auto"/>
            <w:vAlign w:val="bottom"/>
          </w:tcPr>
          <w:p w:rsidR="00A42044" w:rsidRPr="00A11EF4" w:rsidRDefault="00A42044" w:rsidP="000415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Дальневосточный ФО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105 531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118 834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73 907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26 036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15 361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11EF4">
              <w:rPr>
                <w:rFonts w:ascii="Times New Roman" w:hAnsi="Times New Roman"/>
                <w:i/>
                <w:color w:val="000000"/>
              </w:rPr>
              <w:t>10 675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6 905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4 876</w:t>
            </w:r>
          </w:p>
        </w:tc>
        <w:tc>
          <w:tcPr>
            <w:tcW w:w="948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7 109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1EF4">
              <w:rPr>
                <w:rFonts w:ascii="Times New Roman" w:hAnsi="Times New Roman"/>
                <w:color w:val="000000"/>
              </w:rPr>
              <w:t>2 757</w:t>
            </w: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21 933</w:t>
            </w:r>
          </w:p>
        </w:tc>
        <w:tc>
          <w:tcPr>
            <w:tcW w:w="94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42044" w:rsidRPr="00A11EF4" w:rsidRDefault="00A42044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1EF4">
              <w:rPr>
                <w:rFonts w:ascii="Times New Roman" w:hAnsi="Times New Roman"/>
                <w:bCs/>
                <w:color w:val="000000"/>
              </w:rPr>
              <w:t>143</w:t>
            </w:r>
          </w:p>
        </w:tc>
      </w:tr>
    </w:tbl>
    <w:p w:rsidR="00A42044" w:rsidRPr="00A11EF4" w:rsidRDefault="00A42044" w:rsidP="000415F3">
      <w:pPr>
        <w:spacing w:before="12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11EF4">
        <w:rPr>
          <w:rFonts w:ascii="Times New Roman" w:hAnsi="Times New Roman"/>
          <w:color w:val="000000"/>
          <w:sz w:val="20"/>
          <w:szCs w:val="20"/>
        </w:rPr>
        <w:t>* Рассчитано, исходя из структуры затрат на оплату труда по данным статистического бюллетеня Росстата «О заработной плате работников организаций по категориям персонала и профессиональным группам работников за октябрь 2017 г.» (Приложение 2 к настоящей работе)</w:t>
      </w:r>
    </w:p>
    <w:p w:rsidR="00A42044" w:rsidRPr="00A11EF4" w:rsidRDefault="00A42044" w:rsidP="00A42044">
      <w:pPr>
        <w:spacing w:before="120" w:after="120"/>
        <w:ind w:right="4310"/>
        <w:rPr>
          <w:rFonts w:ascii="Times New Roman" w:hAnsi="Times New Roman"/>
          <w:color w:val="000000"/>
        </w:rPr>
      </w:pPr>
    </w:p>
    <w:p w:rsidR="00300B27" w:rsidRPr="00A11EF4" w:rsidRDefault="00300B27" w:rsidP="00713149">
      <w:pPr>
        <w:spacing w:before="120"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61B1" w:rsidRPr="00A11EF4" w:rsidRDefault="003A61B1" w:rsidP="00713149">
      <w:pPr>
        <w:spacing w:before="120"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61B1" w:rsidRPr="00A11EF4" w:rsidRDefault="003A61B1" w:rsidP="00713149">
      <w:pPr>
        <w:spacing w:before="120"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10D5" w:rsidRPr="00A11EF4" w:rsidRDefault="003A61B1" w:rsidP="00491E3B">
      <w:pPr>
        <w:spacing w:after="0" w:line="240" w:lineRule="auto"/>
        <w:jc w:val="both"/>
        <w:outlineLvl w:val="1"/>
        <w:rPr>
          <w:rFonts w:ascii="Times New Roman" w:hAnsi="Times New Roman"/>
          <w:color w:val="000000"/>
        </w:rPr>
      </w:pPr>
      <w:r w:rsidRPr="00A11EF4">
        <w:rPr>
          <w:rFonts w:ascii="Times New Roman" w:hAnsi="Times New Roman"/>
          <w:b/>
          <w:color w:val="000000"/>
          <w:sz w:val="28"/>
          <w:szCs w:val="28"/>
        </w:rPr>
        <w:t>Приложение 2</w:t>
      </w:r>
      <w:r w:rsidRPr="00A11EF4">
        <w:rPr>
          <w:rFonts w:ascii="Times New Roman" w:hAnsi="Times New Roman"/>
          <w:color w:val="000000"/>
        </w:rPr>
        <w:t>. Данные статистического бюллетеня Росстата «О заработной плате работников организаций по категориям персонала и професси</w:t>
      </w:r>
      <w:r w:rsidRPr="00A11EF4">
        <w:rPr>
          <w:rFonts w:ascii="Times New Roman" w:hAnsi="Times New Roman"/>
          <w:color w:val="000000"/>
        </w:rPr>
        <w:t>о</w:t>
      </w:r>
      <w:r w:rsidRPr="00A11EF4">
        <w:rPr>
          <w:rFonts w:ascii="Times New Roman" w:hAnsi="Times New Roman"/>
          <w:color w:val="000000"/>
        </w:rPr>
        <w:t xml:space="preserve">нальным группам работников за октябрь 2017 г.» </w:t>
      </w:r>
    </w:p>
    <w:p w:rsidR="003A61B1" w:rsidRPr="00A11EF4" w:rsidRDefault="003A61B1" w:rsidP="000415F3">
      <w:pPr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16" w:history="1">
        <w:r w:rsidRPr="00A11EF4">
          <w:rPr>
            <w:rStyle w:val="af"/>
            <w:rFonts w:ascii="Times New Roman" w:hAnsi="Times New Roman"/>
            <w:color w:val="000000"/>
          </w:rPr>
          <w:t>http://www.gks.ru/wps/wcm/connect/rosstat_main/rosstat/ru/statistics/wages/labour_costs/</w:t>
        </w:r>
      </w:hyperlink>
    </w:p>
    <w:p w:rsidR="003A61B1" w:rsidRPr="00A11EF4" w:rsidRDefault="003A61B1" w:rsidP="000415F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A61B1" w:rsidRPr="00A11EF4" w:rsidRDefault="003A61B1" w:rsidP="000415F3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A11EF4">
        <w:rPr>
          <w:rFonts w:ascii="Times New Roman" w:hAnsi="Times New Roman"/>
          <w:color w:val="000000"/>
        </w:rPr>
        <w:t>Таб. 01. Средняя начисленная заработная плата работников, полностью отработавших октябрь, по категориям персонала и видам экономической деятел</w:t>
      </w:r>
      <w:r w:rsidRPr="00A11EF4">
        <w:rPr>
          <w:rFonts w:ascii="Times New Roman" w:hAnsi="Times New Roman"/>
          <w:color w:val="000000"/>
        </w:rPr>
        <w:t>ь</w:t>
      </w:r>
      <w:r w:rsidRPr="00A11EF4">
        <w:rPr>
          <w:rFonts w:ascii="Times New Roman" w:hAnsi="Times New Roman"/>
          <w:color w:val="000000"/>
        </w:rPr>
        <w:t>ности за октябрь 2017 года</w:t>
      </w:r>
    </w:p>
    <w:tbl>
      <w:tblPr>
        <w:tblW w:w="115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380"/>
        <w:gridCol w:w="1500"/>
        <w:gridCol w:w="1440"/>
        <w:gridCol w:w="1620"/>
        <w:gridCol w:w="1260"/>
      </w:tblGrid>
      <w:tr w:rsidR="003A61B1" w:rsidRPr="00A11EF4" w:rsidTr="00C946DA">
        <w:trPr>
          <w:trHeight w:val="227"/>
        </w:trPr>
        <w:tc>
          <w:tcPr>
            <w:tcW w:w="43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Всего, руб.</w:t>
            </w:r>
          </w:p>
        </w:tc>
        <w:tc>
          <w:tcPr>
            <w:tcW w:w="5820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</w:tr>
      <w:tr w:rsidR="003A61B1" w:rsidRPr="00A11EF4" w:rsidTr="00C946DA">
        <w:trPr>
          <w:trHeight w:val="227"/>
        </w:trPr>
        <w:tc>
          <w:tcPr>
            <w:tcW w:w="432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руководители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специалисты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другие служащие 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рабочие</w:t>
            </w:r>
          </w:p>
        </w:tc>
      </w:tr>
      <w:tr w:rsidR="003A61B1" w:rsidRPr="00A11EF4" w:rsidTr="00C946DA">
        <w:trPr>
          <w:trHeight w:val="227"/>
        </w:trPr>
        <w:tc>
          <w:tcPr>
            <w:tcW w:w="4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 по обследованным видам деятельности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38609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74059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41955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23876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30363</w:t>
            </w:r>
          </w:p>
        </w:tc>
      </w:tr>
      <w:tr w:rsidR="003A61B1" w:rsidRPr="00A11EF4" w:rsidTr="00C946DA">
        <w:trPr>
          <w:trHeight w:val="227"/>
        </w:trPr>
        <w:tc>
          <w:tcPr>
            <w:tcW w:w="4325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В Добыча полезных ископаемых</w:t>
            </w:r>
          </w:p>
        </w:tc>
        <w:tc>
          <w:tcPr>
            <w:tcW w:w="13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68275</w:t>
            </w:r>
          </w:p>
        </w:tc>
        <w:tc>
          <w:tcPr>
            <w:tcW w:w="15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117075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85648</w:t>
            </w:r>
          </w:p>
        </w:tc>
        <w:tc>
          <w:tcPr>
            <w:tcW w:w="16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41705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56862</w:t>
            </w:r>
          </w:p>
        </w:tc>
      </w:tr>
      <w:tr w:rsidR="003A61B1" w:rsidRPr="00A11EF4" w:rsidTr="00C946DA">
        <w:trPr>
          <w:trHeight w:val="227"/>
        </w:trPr>
        <w:tc>
          <w:tcPr>
            <w:tcW w:w="4325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С Обрабатывающие производства</w:t>
            </w:r>
          </w:p>
        </w:tc>
        <w:tc>
          <w:tcPr>
            <w:tcW w:w="13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41575</w:t>
            </w:r>
          </w:p>
        </w:tc>
        <w:tc>
          <w:tcPr>
            <w:tcW w:w="15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73624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46637</w:t>
            </w:r>
          </w:p>
        </w:tc>
        <w:tc>
          <w:tcPr>
            <w:tcW w:w="16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31020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35110</w:t>
            </w:r>
          </w:p>
        </w:tc>
      </w:tr>
      <w:tr w:rsidR="003A61B1" w:rsidRPr="00A11EF4" w:rsidTr="00C946DA">
        <w:trPr>
          <w:trHeight w:val="227"/>
        </w:trPr>
        <w:tc>
          <w:tcPr>
            <w:tcW w:w="4325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F Строительство</w:t>
            </w:r>
          </w:p>
        </w:tc>
        <w:tc>
          <w:tcPr>
            <w:tcW w:w="13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49005</w:t>
            </w:r>
          </w:p>
        </w:tc>
        <w:tc>
          <w:tcPr>
            <w:tcW w:w="15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85809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57352</w:t>
            </w:r>
          </w:p>
        </w:tc>
        <w:tc>
          <w:tcPr>
            <w:tcW w:w="16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34843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41418</w:t>
            </w:r>
          </w:p>
        </w:tc>
      </w:tr>
    </w:tbl>
    <w:p w:rsidR="003A61B1" w:rsidRPr="00A11EF4" w:rsidRDefault="003A61B1" w:rsidP="003A61B1">
      <w:pPr>
        <w:spacing w:before="120"/>
        <w:rPr>
          <w:rFonts w:ascii="Times New Roman" w:hAnsi="Times New Roman"/>
          <w:color w:val="000000"/>
        </w:rPr>
      </w:pPr>
    </w:p>
    <w:p w:rsidR="003A61B1" w:rsidRPr="00A11EF4" w:rsidRDefault="003A61B1" w:rsidP="000415F3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A11EF4">
        <w:rPr>
          <w:rFonts w:ascii="Times New Roman" w:hAnsi="Times New Roman"/>
          <w:color w:val="000000"/>
        </w:rPr>
        <w:t>Таб. 04. Численность работников, полностью отработавших октябрь, по категориям персонала и видам экономической деятельности за октябрь 2017 года. Российская Федерация</w:t>
      </w:r>
    </w:p>
    <w:tbl>
      <w:tblPr>
        <w:tblW w:w="12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2"/>
        <w:gridCol w:w="1438"/>
        <w:gridCol w:w="1439"/>
        <w:gridCol w:w="1439"/>
        <w:gridCol w:w="1618"/>
        <w:gridCol w:w="1305"/>
        <w:gridCol w:w="1229"/>
      </w:tblGrid>
      <w:tr w:rsidR="003A61B1" w:rsidRPr="00A11EF4" w:rsidTr="00C946DA">
        <w:trPr>
          <w:trHeight w:val="227"/>
        </w:trPr>
        <w:tc>
          <w:tcPr>
            <w:tcW w:w="43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9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По данным Росстата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По расчету</w:t>
            </w:r>
            <w:r w:rsidRPr="00A11E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доля рабочих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vMerge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Всего, </w:t>
            </w: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br/>
              <w:t>тыс. человек</w:t>
            </w:r>
          </w:p>
        </w:tc>
        <w:tc>
          <w:tcPr>
            <w:tcW w:w="580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229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руководители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специалисты</w:t>
            </w:r>
          </w:p>
        </w:tc>
        <w:tc>
          <w:tcPr>
            <w:tcW w:w="1618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другие служащие </w:t>
            </w:r>
          </w:p>
        </w:tc>
        <w:tc>
          <w:tcPr>
            <w:tcW w:w="1305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рабочие</w:t>
            </w: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 по обследованным видам деятельности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18548,8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1850,7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6799,2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1305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8860,0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48%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В Добыча полезных ископаемых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578,7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411,8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71%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С Обрабатывающие производства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3099,5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354,2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574,2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2116,6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68%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F Строительство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429,5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69%</w:t>
            </w:r>
          </w:p>
        </w:tc>
      </w:tr>
      <w:tr w:rsidR="003A61B1" w:rsidRPr="00A11EF4" w:rsidTr="00C946DA">
        <w:trPr>
          <w:trHeight w:val="227"/>
        </w:trPr>
        <w:tc>
          <w:tcPr>
            <w:tcW w:w="12780" w:type="dxa"/>
            <w:gridSpan w:val="7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 расчету: </w:t>
            </w:r>
            <w:r w:rsidRPr="00A11E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затраты на оплату труда (таб.01 х таб.04), млн. руб.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Всего по обследованным видам деятельности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716 145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137 061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285 260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24 807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269 016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В Добыча полезных ископаемых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39 517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7 305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8 642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23 416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59%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С Обрабатывающие производства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128 858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26 078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26 779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1 687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74 314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58%</w:t>
            </w:r>
          </w:p>
        </w:tc>
      </w:tr>
      <w:tr w:rsidR="003A61B1" w:rsidRPr="00A11EF4" w:rsidTr="00C946DA">
        <w:trPr>
          <w:trHeight w:val="227"/>
        </w:trPr>
        <w:tc>
          <w:tcPr>
            <w:tcW w:w="4312" w:type="dxa"/>
            <w:shd w:val="clear" w:color="auto" w:fill="auto"/>
            <w:vAlign w:val="center"/>
          </w:tcPr>
          <w:p w:rsidR="003A61B1" w:rsidRPr="00A11EF4" w:rsidRDefault="003A61B1" w:rsidP="000415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Раздел F Строительство</w:t>
            </w:r>
          </w:p>
        </w:tc>
        <w:tc>
          <w:tcPr>
            <w:tcW w:w="1438" w:type="dxa"/>
            <w:shd w:val="clear" w:color="auto" w:fill="auto"/>
            <w:tcMar>
              <w:left w:w="0" w:type="dxa"/>
              <w:right w:w="0" w:type="dxa"/>
            </w:tcMar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30 358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5 741</w:t>
            </w:r>
          </w:p>
        </w:tc>
        <w:tc>
          <w:tcPr>
            <w:tcW w:w="14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6 469</w:t>
            </w:r>
          </w:p>
        </w:tc>
        <w:tc>
          <w:tcPr>
            <w:tcW w:w="1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3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color w:val="000000"/>
                <w:sz w:val="20"/>
                <w:szCs w:val="20"/>
              </w:rPr>
              <w:t>17 789</w:t>
            </w:r>
          </w:p>
        </w:tc>
        <w:tc>
          <w:tcPr>
            <w:tcW w:w="122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1B1" w:rsidRPr="00A11EF4" w:rsidRDefault="003A61B1" w:rsidP="00041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59%</w:t>
            </w:r>
          </w:p>
        </w:tc>
      </w:tr>
    </w:tbl>
    <w:p w:rsidR="003A61B1" w:rsidRPr="00A11EF4" w:rsidRDefault="003A61B1" w:rsidP="003A61B1">
      <w:pPr>
        <w:spacing w:before="120"/>
        <w:rPr>
          <w:rFonts w:ascii="Times New Roman" w:hAnsi="Times New Roman"/>
          <w:color w:val="000000"/>
        </w:rPr>
      </w:pPr>
    </w:p>
    <w:p w:rsidR="003A61B1" w:rsidRPr="00A11EF4" w:rsidRDefault="003A61B1" w:rsidP="003A61B1">
      <w:pPr>
        <w:spacing w:before="120" w:after="120"/>
        <w:rPr>
          <w:rFonts w:ascii="Times New Roman" w:hAnsi="Times New Roman"/>
          <w:color w:val="000000"/>
        </w:rPr>
      </w:pPr>
    </w:p>
    <w:p w:rsidR="000415F3" w:rsidRPr="00A11EF4" w:rsidRDefault="000415F3" w:rsidP="003A61B1">
      <w:pPr>
        <w:spacing w:before="120" w:after="120"/>
        <w:rPr>
          <w:rFonts w:ascii="Times New Roman" w:hAnsi="Times New Roman"/>
          <w:color w:val="000000"/>
        </w:rPr>
      </w:pPr>
    </w:p>
    <w:p w:rsidR="000415F3" w:rsidRPr="00A11EF4" w:rsidRDefault="000415F3" w:rsidP="003A61B1">
      <w:pPr>
        <w:spacing w:before="120" w:after="120"/>
        <w:rPr>
          <w:rFonts w:ascii="Times New Roman" w:hAnsi="Times New Roman"/>
          <w:color w:val="000000"/>
        </w:rPr>
      </w:pPr>
    </w:p>
    <w:p w:rsidR="003A61B1" w:rsidRPr="00A11EF4" w:rsidRDefault="003A61B1" w:rsidP="003A61B1">
      <w:pPr>
        <w:spacing w:before="120" w:after="120"/>
        <w:rPr>
          <w:rFonts w:ascii="Times New Roman" w:hAnsi="Times New Roman"/>
          <w:color w:val="000000"/>
        </w:rPr>
      </w:pPr>
    </w:p>
    <w:p w:rsidR="0063710D" w:rsidRPr="00A11EF4" w:rsidRDefault="0063710D" w:rsidP="00491E3B">
      <w:pPr>
        <w:spacing w:after="240" w:line="240" w:lineRule="auto"/>
        <w:jc w:val="both"/>
        <w:outlineLvl w:val="1"/>
        <w:rPr>
          <w:rFonts w:ascii="Times New Roman" w:hAnsi="Times New Roman"/>
          <w:color w:val="000000"/>
        </w:rPr>
      </w:pPr>
      <w:r w:rsidRPr="00A11EF4">
        <w:rPr>
          <w:rFonts w:ascii="Times New Roman" w:hAnsi="Times New Roman"/>
          <w:b/>
          <w:color w:val="000000"/>
          <w:sz w:val="28"/>
          <w:szCs w:val="28"/>
        </w:rPr>
        <w:t>Приложение 3</w:t>
      </w:r>
      <w:r w:rsidRPr="00A11EF4">
        <w:rPr>
          <w:rFonts w:ascii="Times New Roman" w:hAnsi="Times New Roman"/>
          <w:color w:val="000000"/>
        </w:rPr>
        <w:t xml:space="preserve">. Исходные данные компаний – участников опроса за 2017 год, </w:t>
      </w:r>
      <w:r w:rsidR="00F17BDE" w:rsidRPr="00A11EF4">
        <w:rPr>
          <w:rFonts w:ascii="Times New Roman" w:hAnsi="Times New Roman"/>
          <w:color w:val="000000"/>
        </w:rPr>
        <w:t>тыс</w:t>
      </w:r>
      <w:r w:rsidRPr="00A11EF4">
        <w:rPr>
          <w:rFonts w:ascii="Times New Roman" w:hAnsi="Times New Roman"/>
          <w:color w:val="000000"/>
        </w:rPr>
        <w:t>. руб.</w:t>
      </w:r>
    </w:p>
    <w:tbl>
      <w:tblPr>
        <w:tblW w:w="1468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8"/>
        <w:gridCol w:w="3465"/>
        <w:gridCol w:w="1770"/>
        <w:gridCol w:w="1770"/>
        <w:gridCol w:w="1770"/>
        <w:gridCol w:w="1770"/>
        <w:gridCol w:w="1770"/>
        <w:gridCol w:w="1770"/>
      </w:tblGrid>
      <w:tr w:rsidR="00F86E62" w:rsidRPr="00A11EF4" w:rsidTr="00551095">
        <w:trPr>
          <w:trHeight w:val="227"/>
          <w:tblHeader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34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Компании - участники опроса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 xml:space="preserve"> Выручка (СМР собственными силами)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ФОТ основных рабочих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 xml:space="preserve"> Н</w:t>
            </w:r>
            <w:r w:rsidR="00CE3A31" w:rsidRPr="00A11EF4">
              <w:rPr>
                <w:rFonts w:ascii="Times New Roman" w:hAnsi="Times New Roman"/>
                <w:color w:val="000000"/>
                <w:lang w:eastAsia="ru-RU"/>
              </w:rPr>
              <w:t>акладные расходы</w:t>
            </w:r>
            <w:r w:rsidRPr="00A11EF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DF48C8" w:rsidRPr="00A11EF4">
              <w:rPr>
                <w:rFonts w:ascii="Times New Roman" w:hAnsi="Times New Roman"/>
                <w:color w:val="000000"/>
                <w:lang w:eastAsia="ru-RU"/>
              </w:rPr>
              <w:t>(СМР)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 xml:space="preserve">Процент </w:t>
            </w:r>
            <w:r w:rsidR="00CE3A31" w:rsidRPr="00A11EF4">
              <w:rPr>
                <w:rFonts w:ascii="Times New Roman" w:hAnsi="Times New Roman"/>
                <w:color w:val="000000"/>
                <w:lang w:eastAsia="ru-RU"/>
              </w:rPr>
              <w:t>накладных расходов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ФОТ на 1 руб. выручки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E62" w:rsidRPr="00A11EF4" w:rsidRDefault="00F86E62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НР на 1 руб. выручки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"Стройгазмонтаж"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133 507 032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7 672 435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19 489 829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254,0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ПАО "Мостотрест"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71 720 401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5 144 035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13 912 874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270,5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0,19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"ВАД"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34 433 206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3 402 942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5 410 264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159,0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 xml:space="preserve">АО "Концен Титан-2" по объекту ЛАЭС </w:t>
            </w:r>
            <w:r w:rsidR="00AE6EF0">
              <w:rPr>
                <w:rFonts w:ascii="Times New Roman" w:hAnsi="Times New Roman"/>
                <w:lang w:eastAsia="ru-RU"/>
              </w:rPr>
              <w:t>–</w:t>
            </w:r>
            <w:r w:rsidRPr="00A11EF4">
              <w:rPr>
                <w:rFonts w:ascii="Times New Roman" w:hAnsi="Times New Roman"/>
                <w:lang w:eastAsia="ru-RU"/>
              </w:rPr>
              <w:t xml:space="preserve">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27 190 769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4 681 684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9 288 978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198,4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0,34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"ДСК Автобан"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19 798 890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1 546 264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4 955 046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320,5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"Мостострой-11"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18 731 269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1 230 038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2 334 757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189,8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ПАО "АК ВНЗМ"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3 895 645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605 633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1 092 780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180,4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0,28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Корпорация АК "ЭСКМ"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11 420 061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685 640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1 297 720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189,3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ОАО "Новосибирскавтодор"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6 542 072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149 567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450 797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301,4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"МонтажТехСтрой"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4 047 977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670 452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871 221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129,9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ОАО "Алексеевскдорстрой"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3 852 379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428 570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612 052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142,8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"Велесстрой"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3 691 619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1 384 127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1 828 481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132,1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0,50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"СтройЮгРегион"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1 924 835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238 784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260 437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109,1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ГП "КрайДЭО"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1 871 382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306 602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577 407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188,3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0,31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"Строймагистраль"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2 570 206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112 799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195 548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0,08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"ЛИДЕР-СТРОЙ"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2 031 973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75 766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115 464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152,4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ЗАО "Сужданское  ДРСУ №"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1 489 770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88 516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168 089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189,9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"СтройДорСервис"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1 489 058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80 430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102 377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127,3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"ССК "Дормостаэро"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1 778 943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48 577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96 665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199,0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"СК Стройдор"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1 257 254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165 185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258 591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156,5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ПАО "Дорисс СУ-5"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1 668 464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89 953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108 940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121,1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"Красноармейское ДРСУ"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1 493 234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227 026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171 247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"СРП"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1 696 200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26 036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80 516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309,2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 xml:space="preserve"> ГУП ДХ АК "Южное ДСУ"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981 896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98 786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124 580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126,1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трест "Башгражданстрой"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721 509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112 442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160 376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142,6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"Автомобильные дороги Пскова"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1 027 574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169 849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222 241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130,8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"Кузбасдорстрой"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952 661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81 644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163 279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ГУП ДХ АК "Юго-Восточное ДСУ"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993 986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85 240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242 532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284,5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"Мостоотряд № 30" филиал ЗАО "Уралмостострой"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958 429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184 545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282 265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153,0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0,29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"СКФ "АТМ"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1 032 131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45 953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103 624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225,5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"ДорТехИнжиниринг"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1 124 416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165 660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255 327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154,1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"ДРСУ №6"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707 460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61 839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92 204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149,1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"РИК Автодор"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957 309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172 653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175 861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101,9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0,18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ЗАО ПКФ "РБДС"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1 010 859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65 762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148 477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225,8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"Труд"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726 394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73 241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177 183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241,9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"Фирма комплексного строительства"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768 705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134 952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204 305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151,4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ГУП ДХ АК "Центральное ДСУ"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883 010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88 706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245 250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276,5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0,28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 xml:space="preserve">ООО Фирма "ЮгСтройСервис"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617 000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35 573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136 844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384,7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"Енер-холдинг"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581 214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91 667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115 303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125,8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0,20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 xml:space="preserve"> ОАО "ТДСК"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593 812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734 446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1 202 450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2,02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"Омскавтодор"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433 736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32 832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50 306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153,2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ЗАО "Трест Камдорстрой"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551 854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35 396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61 472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173,7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"Дорсервис"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269 241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22 422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63 179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281,8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ГУП ДХ Ак "Юго-Западное ДСУ"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490 014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64 139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173 152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270,0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0,35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"АВ-Техно"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464 928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36 955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115 806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313,4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"Строительная фирма №3"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445 949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87 533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105 317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120,3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Филиал "Мостоотряд №82"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393 174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53 228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131 391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246,8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0,33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"Дорожник"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330 992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59 318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88 550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149,3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"Проммонолит"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333 926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32 576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39 657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121,7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ООО"Дорстройсервис"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265 399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39 700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33 096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83,4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ЗАО  "Уралмостострой"  ф-"Мостоотряд №16"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316 309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43 702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81 555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186,6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0,26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"Акрополь"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145 866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32 171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39 814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123,8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"Стронег"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262 111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29 316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61 534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209,9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"Проектно-монтажное строительное управление 61"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167 655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40 137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72 212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179,9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0,43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"ДРСУ №2"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173 907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20 548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28 304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0,16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"Тюкалинское ДРСУ"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134 226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32 438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93 338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287,7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0,70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"МФ "Дельта-мост"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162 983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15 952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28 300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177,4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"Дорожное эксплуатационное предприятие № 53"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185 900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13 737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43 139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314,0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0,23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ПАО Дорисс СУ-4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153 671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17 107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38 940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227,6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"Моставтодор"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155 692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19 026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57 768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303,6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0,37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"Дорснаб"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128 757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5 719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18 161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317,6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"КУБАНСКИЙ МОСТОВИК"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86 371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10 816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13 249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122,5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0,15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"Строймост"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99 364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4 196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95,3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АО "ТОДЭП"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н.д.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608 835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1 491 217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244,9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"Автодормост"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н.д.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4 529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25 637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566,1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ООО "ЗДСК"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104 996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6 155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22 121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359,4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EF4">
              <w:rPr>
                <w:rFonts w:ascii="Times New Roman" w:hAnsi="Times New Roman"/>
                <w:lang w:eastAsia="ru-RU"/>
              </w:rPr>
              <w:t>0,21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378 998 026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32 832 502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70 713 396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17B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215,4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lang w:eastAsia="ru-RU"/>
              </w:rPr>
              <w:t>0,19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Минимальное значение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75,4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0,04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Максимальное значение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566,1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F17BDE" w:rsidRPr="00A11EF4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Математическое ожидание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0,23</w:t>
            </w:r>
          </w:p>
        </w:tc>
      </w:tr>
      <w:tr w:rsidR="00F17BDE" w:rsidRPr="00551095" w:rsidTr="00551095">
        <w:trPr>
          <w:trHeight w:val="22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F17BDE" w:rsidRPr="00A11EF4" w:rsidRDefault="00F17BDE" w:rsidP="00F86E6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Доверительный интервал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185 – 217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A11EF4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0,09 – 0,17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BDE" w:rsidRPr="00551095" w:rsidRDefault="00F17BDE" w:rsidP="00F86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EF4">
              <w:rPr>
                <w:rFonts w:ascii="Times New Roman" w:hAnsi="Times New Roman"/>
                <w:color w:val="000000"/>
                <w:lang w:eastAsia="ru-RU"/>
              </w:rPr>
              <w:t>0,17 – 0,3</w:t>
            </w:r>
            <w:r w:rsidRPr="0055109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D8712A" w:rsidRPr="00AB4CA4" w:rsidRDefault="00D8712A" w:rsidP="0063710D">
      <w:pPr>
        <w:spacing w:before="120" w:after="120"/>
        <w:rPr>
          <w:rFonts w:ascii="Times New Roman" w:hAnsi="Times New Roman"/>
          <w:color w:val="000000"/>
        </w:rPr>
      </w:pPr>
    </w:p>
    <w:p w:rsidR="00D8712A" w:rsidRPr="00AB4CA4" w:rsidRDefault="00D8712A" w:rsidP="0063710D">
      <w:pPr>
        <w:spacing w:before="120" w:after="120"/>
        <w:rPr>
          <w:rFonts w:ascii="Times New Roman" w:hAnsi="Times New Roman"/>
          <w:color w:val="000000"/>
        </w:rPr>
      </w:pPr>
    </w:p>
    <w:p w:rsidR="0063710D" w:rsidRPr="00AB4CA4" w:rsidRDefault="0063710D" w:rsidP="00C730ED">
      <w:pPr>
        <w:spacing w:before="120" w:after="120"/>
      </w:pPr>
    </w:p>
    <w:sectPr w:rsidR="0063710D" w:rsidRPr="00AB4CA4" w:rsidSect="009435FD">
      <w:pgSz w:w="16838" w:h="11906" w:orient="landscape" w:code="9"/>
      <w:pgMar w:top="1701" w:right="1134" w:bottom="851" w:left="1134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49" w:rsidRDefault="00C44149" w:rsidP="00B664A2">
      <w:pPr>
        <w:spacing w:after="0" w:line="240" w:lineRule="auto"/>
      </w:pPr>
      <w:r>
        <w:separator/>
      </w:r>
    </w:p>
  </w:endnote>
  <w:endnote w:type="continuationSeparator" w:id="0">
    <w:p w:rsidR="00C44149" w:rsidRDefault="00C44149" w:rsidP="00B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67" w:rsidRPr="004A4CA1" w:rsidRDefault="00120067" w:rsidP="004A4CA1">
    <w:pPr>
      <w:pStyle w:val="a5"/>
      <w:tabs>
        <w:tab w:val="clear" w:pos="9355"/>
        <w:tab w:val="right" w:pos="9639"/>
      </w:tabs>
      <w:rPr>
        <w:rFonts w:ascii="Arial" w:hAnsi="Arial" w:cs="Arial"/>
        <w:sz w:val="16"/>
        <w:szCs w:val="16"/>
      </w:rPr>
    </w:pPr>
    <w:r w:rsidRPr="00C93EB0">
      <w:rPr>
        <w:rFonts w:ascii="Arial" w:hAnsi="Arial" w:cs="Arial"/>
        <w:sz w:val="16"/>
        <w:szCs w:val="16"/>
      </w:rPr>
      <w:t>Рабочая группа при Минстрое России по методологии ценообразования</w:t>
    </w:r>
    <w:r>
      <w:rPr>
        <w:rFonts w:ascii="Arial" w:hAnsi="Arial" w:cs="Arial"/>
        <w:sz w:val="16"/>
        <w:szCs w:val="16"/>
      </w:rPr>
      <w:tab/>
    </w:r>
    <w:r w:rsidRPr="004A4CA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 w:rsidR="00145214">
      <w:rPr>
        <w:rFonts w:ascii="Arial" w:hAnsi="Arial" w:cs="Arial"/>
        <w:noProof/>
        <w:sz w:val="16"/>
        <w:szCs w:val="16"/>
      </w:rPr>
      <w:t>19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67" w:rsidRDefault="00120067" w:rsidP="009818BC">
    <w:pPr>
      <w:pStyle w:val="a5"/>
      <w:tabs>
        <w:tab w:val="left" w:pos="142"/>
      </w:tabs>
      <w:ind w:left="142" w:hanging="142"/>
      <w:rPr>
        <w:rFonts w:ascii="Arial" w:hAnsi="Arial" w:cs="Arial"/>
        <w:sz w:val="14"/>
        <w:szCs w:val="14"/>
        <w:vertAlign w:val="superscript"/>
      </w:rPr>
    </w:pPr>
  </w:p>
  <w:p w:rsidR="00120067" w:rsidRDefault="00120067" w:rsidP="009818BC">
    <w:pPr>
      <w:pStyle w:val="a5"/>
      <w:tabs>
        <w:tab w:val="left" w:pos="142"/>
      </w:tabs>
      <w:ind w:left="142" w:hanging="142"/>
      <w:rPr>
        <w:rFonts w:ascii="Arial" w:hAnsi="Arial" w:cs="Arial"/>
        <w:sz w:val="14"/>
        <w:szCs w:val="14"/>
        <w:vertAlign w:val="superscript"/>
      </w:rPr>
    </w:pPr>
  </w:p>
  <w:p w:rsidR="00120067" w:rsidRDefault="00120067" w:rsidP="009818BC">
    <w:pPr>
      <w:pStyle w:val="a5"/>
      <w:tabs>
        <w:tab w:val="left" w:pos="142"/>
      </w:tabs>
      <w:ind w:left="142" w:hanging="142"/>
      <w:rPr>
        <w:rFonts w:ascii="Arial" w:hAnsi="Arial" w:cs="Arial"/>
        <w:sz w:val="14"/>
        <w:szCs w:val="14"/>
        <w:vertAlign w:val="superscript"/>
      </w:rPr>
    </w:pPr>
    <w:r w:rsidRPr="00C93EB0">
      <w:rPr>
        <w:rFonts w:ascii="Arial" w:hAnsi="Arial" w:cs="Arial"/>
        <w:sz w:val="16"/>
        <w:szCs w:val="16"/>
      </w:rPr>
      <w:t>Рабочая группа при Минстрое России по методологии ценообразования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49" w:rsidRDefault="00C44149" w:rsidP="00B664A2">
      <w:pPr>
        <w:spacing w:after="0" w:line="240" w:lineRule="auto"/>
      </w:pPr>
      <w:r>
        <w:separator/>
      </w:r>
    </w:p>
  </w:footnote>
  <w:footnote w:type="continuationSeparator" w:id="0">
    <w:p w:rsidR="00C44149" w:rsidRDefault="00C44149" w:rsidP="00B664A2">
      <w:pPr>
        <w:spacing w:after="0" w:line="240" w:lineRule="auto"/>
      </w:pPr>
      <w:r>
        <w:continuationSeparator/>
      </w:r>
    </w:p>
  </w:footnote>
  <w:footnote w:id="1">
    <w:p w:rsidR="00120067" w:rsidRDefault="00120067" w:rsidP="008A5477">
      <w:pPr>
        <w:pStyle w:val="af0"/>
        <w:jc w:val="both"/>
      </w:pPr>
      <w:r>
        <w:rPr>
          <w:rStyle w:val="af1"/>
        </w:rPr>
        <w:footnoteRef/>
      </w:r>
      <w:r>
        <w:t xml:space="preserve"> </w:t>
      </w:r>
      <w:r w:rsidRPr="007E1E9E">
        <w:t>Протокол открытого совещания рабочих групп по методологии сметного ценообразов</w:t>
      </w:r>
      <w:r w:rsidRPr="007E1E9E">
        <w:t>а</w:t>
      </w:r>
      <w:r w:rsidRPr="007E1E9E">
        <w:t xml:space="preserve">ния </w:t>
      </w:r>
      <w:r w:rsidRPr="007E1E9E">
        <w:rPr>
          <w:color w:val="000000"/>
        </w:rPr>
        <w:t>при Минстрое России</w:t>
      </w:r>
      <w:r w:rsidRPr="007E1E9E">
        <w:t xml:space="preserve"> от 06.09.2018 г.</w:t>
      </w:r>
      <w:r>
        <w:t>, п.</w:t>
      </w:r>
      <w:r w:rsidRPr="007E1E9E">
        <w:t xml:space="preserve">3.1. </w:t>
      </w:r>
      <w:r>
        <w:t>«</w:t>
      </w:r>
      <w:r w:rsidRPr="007E1E9E">
        <w:t>В связи с предоставлением данных о фактическом уровне накладных расх</w:t>
      </w:r>
      <w:r w:rsidRPr="007E1E9E">
        <w:t>о</w:t>
      </w:r>
      <w:r w:rsidRPr="007E1E9E">
        <w:t>дов предприятиями строительного</w:t>
      </w:r>
      <w:r w:rsidRPr="00E826D7">
        <w:t xml:space="preserve"> комплекса России за 2017 год, составляющих более 20% строительного рынка России, провести анализ и сравнение фактического уровня накладных расходов с нормативами, вводимыми методикой их о</w:t>
      </w:r>
      <w:r w:rsidRPr="00E826D7">
        <w:t>п</w:t>
      </w:r>
      <w:r w:rsidRPr="00E826D7">
        <w:t>ределения. Ответственный: Гаращенко О.В. Срок: 14.09.2018</w:t>
      </w:r>
      <w:r>
        <w:t>».</w:t>
      </w:r>
    </w:p>
  </w:footnote>
  <w:footnote w:id="2">
    <w:p w:rsidR="00120067" w:rsidRPr="000D6EFE" w:rsidRDefault="00120067" w:rsidP="008A5477">
      <w:pPr>
        <w:pStyle w:val="af0"/>
        <w:jc w:val="both"/>
      </w:pPr>
      <w:r w:rsidRPr="000D6EFE">
        <w:rPr>
          <w:rStyle w:val="af1"/>
        </w:rPr>
        <w:footnoteRef/>
      </w:r>
      <w:r w:rsidRPr="000D6EFE">
        <w:t xml:space="preserve"> </w:t>
      </w:r>
      <w:r w:rsidRPr="000D6EFE">
        <w:rPr>
          <w:color w:val="000000"/>
        </w:rPr>
        <w:t>Письмо Минстроя России от 31.05.2018 г. № 23866-ХМ/09</w:t>
      </w:r>
      <w:r>
        <w:rPr>
          <w:color w:val="000000"/>
        </w:rPr>
        <w:t>.</w:t>
      </w:r>
    </w:p>
  </w:footnote>
  <w:footnote w:id="3">
    <w:p w:rsidR="00120067" w:rsidRPr="00B13CAB" w:rsidRDefault="00120067" w:rsidP="00B13CAB">
      <w:pPr>
        <w:pStyle w:val="af0"/>
        <w:jc w:val="both"/>
      </w:pPr>
      <w:r w:rsidRPr="00B6534E">
        <w:rPr>
          <w:rStyle w:val="af1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 w:rsidRPr="00B13CAB">
        <w:t>Утверждены протоколом совещания № 897-ПРМ-ХМ от 11.12.2017 под председательством заместителя Министра строительства и жилищно-коммунального хозяйства Р</w:t>
      </w:r>
      <w:r>
        <w:t>Ф</w:t>
      </w:r>
      <w:r w:rsidRPr="00B13CAB">
        <w:t xml:space="preserve"> Мавлиярова Х.Д. и по поручению Заместителя Председателя Правительства Российской Ф</w:t>
      </w:r>
      <w:r w:rsidRPr="00B13CAB">
        <w:t>е</w:t>
      </w:r>
      <w:r w:rsidRPr="00B13CAB">
        <w:t>дерации Козака Д.Н. от 28.11.2017 № ДК-П9-7921 на письмо Помощника Президента Российской Федерации Белоусова А.Р. от 23.11.2017 № А4-19660Пба.</w:t>
      </w:r>
    </w:p>
  </w:footnote>
  <w:footnote w:id="4">
    <w:p w:rsidR="00120067" w:rsidRDefault="00120067" w:rsidP="00993767">
      <w:pPr>
        <w:pStyle w:val="af0"/>
        <w:jc w:val="both"/>
      </w:pPr>
      <w:r>
        <w:rPr>
          <w:rStyle w:val="af1"/>
        </w:rPr>
        <w:footnoteRef/>
      </w:r>
      <w:r>
        <w:t xml:space="preserve"> Презентация компании-разработчика «Тета инжиниринг»</w:t>
      </w:r>
      <w:r w:rsidRPr="00EB2923">
        <w:t xml:space="preserve">: </w:t>
      </w:r>
      <w:r>
        <w:t>«Разработка методических документов. Мет</w:t>
      </w:r>
      <w:r>
        <w:t>о</w:t>
      </w:r>
      <w:r>
        <w:t xml:space="preserve">дика определения величины накладных расходов в строительстве», </w:t>
      </w:r>
      <w:r w:rsidRPr="006A68B0">
        <w:t>–</w:t>
      </w:r>
      <w:r>
        <w:t xml:space="preserve"> выдана 14.09.2018 на совещании представителей Главгосэкспертизы, рабочих групп при Минстрое России, профе</w:t>
      </w:r>
      <w:r>
        <w:t>с</w:t>
      </w:r>
      <w:r>
        <w:t>сионального сообщества</w:t>
      </w:r>
    </w:p>
  </w:footnote>
  <w:footnote w:id="5">
    <w:p w:rsidR="00120067" w:rsidRPr="00551095" w:rsidRDefault="00120067" w:rsidP="000E0E12">
      <w:pPr>
        <w:pStyle w:val="af0"/>
        <w:jc w:val="both"/>
        <w:rPr>
          <w:sz w:val="18"/>
          <w:szCs w:val="18"/>
        </w:rPr>
      </w:pPr>
      <w:r w:rsidRPr="00551095">
        <w:rPr>
          <w:rStyle w:val="af1"/>
          <w:sz w:val="18"/>
          <w:szCs w:val="18"/>
        </w:rPr>
        <w:footnoteRef/>
      </w:r>
      <w:r w:rsidRPr="00551095">
        <w:rPr>
          <w:sz w:val="18"/>
          <w:szCs w:val="18"/>
        </w:rPr>
        <w:t xml:space="preserve"> Методические указания по определению величины накладных расходов в строительстве (МДС 81-33.2004), утв. Постановлением Госстроя РФ от 12.01.2004 №6</w:t>
      </w:r>
    </w:p>
  </w:footnote>
  <w:footnote w:id="6">
    <w:p w:rsidR="00120067" w:rsidRPr="00F15372" w:rsidRDefault="00120067" w:rsidP="008C486D">
      <w:pPr>
        <w:pStyle w:val="dt-p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551095">
        <w:rPr>
          <w:rStyle w:val="af1"/>
          <w:sz w:val="18"/>
          <w:szCs w:val="18"/>
        </w:rPr>
        <w:footnoteRef/>
      </w:r>
      <w:r w:rsidRPr="00551095">
        <w:rPr>
          <w:sz w:val="18"/>
          <w:szCs w:val="18"/>
        </w:rPr>
        <w:t xml:space="preserve"> Согласно п.2 «Методики определения сметных цен на оплату труда в строительстве» (Приказ Минстроя от 20.12.2016 № 1000/пр) рабочий: работник, непосредственно занятый в процессе создания материальных ценностей при выполнении строительных работ, управлении строительными машинами и автотранспор</w:t>
      </w:r>
      <w:r w:rsidRPr="00551095">
        <w:rPr>
          <w:sz w:val="18"/>
          <w:szCs w:val="18"/>
        </w:rPr>
        <w:t>т</w:t>
      </w:r>
      <w:r w:rsidRPr="00551095">
        <w:rPr>
          <w:sz w:val="18"/>
          <w:szCs w:val="18"/>
        </w:rPr>
        <w:t xml:space="preserve">ными средствами;  машинист: рабочий, управляющий строительными машинами и автотранспортными средствами. </w:t>
      </w:r>
      <w:r w:rsidRPr="00551095">
        <w:rPr>
          <w:color w:val="000000"/>
          <w:sz w:val="18"/>
          <w:szCs w:val="18"/>
        </w:rPr>
        <w:t>Согласно п.2 Методики определения сметных цен на эксплуатацию машин и механизмов (Пр</w:t>
      </w:r>
      <w:r w:rsidRPr="00551095">
        <w:rPr>
          <w:color w:val="000000"/>
          <w:sz w:val="18"/>
          <w:szCs w:val="18"/>
        </w:rPr>
        <w:t>и</w:t>
      </w:r>
      <w:r w:rsidRPr="00551095">
        <w:rPr>
          <w:color w:val="000000"/>
          <w:sz w:val="18"/>
          <w:szCs w:val="18"/>
        </w:rPr>
        <w:t>каз Минстроя от 20.12.2016 № 999/пр) автотранспортное средство: технологический автотранспорт, используемый для доставки строительных материалов, изделий, конструкций и оборудования на строител</w:t>
      </w:r>
      <w:r w:rsidRPr="00551095">
        <w:rPr>
          <w:color w:val="000000"/>
          <w:sz w:val="18"/>
          <w:szCs w:val="18"/>
        </w:rPr>
        <w:t>ь</w:t>
      </w:r>
      <w:r w:rsidRPr="00551095">
        <w:rPr>
          <w:color w:val="000000"/>
          <w:sz w:val="18"/>
          <w:szCs w:val="18"/>
        </w:rPr>
        <w:t>ную площадку, для перевозки грунта и строительного мусора, для перебазировки машин.</w:t>
      </w:r>
      <w:r w:rsidRPr="00F15372">
        <w:rPr>
          <w:color w:val="000000"/>
          <w:sz w:val="20"/>
          <w:szCs w:val="20"/>
        </w:rPr>
        <w:t xml:space="preserve">   </w:t>
      </w:r>
    </w:p>
  </w:footnote>
  <w:footnote w:id="7">
    <w:p w:rsidR="00120067" w:rsidRPr="00551095" w:rsidRDefault="00120067" w:rsidP="00F1537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51095">
        <w:rPr>
          <w:rStyle w:val="af1"/>
          <w:rFonts w:ascii="Times New Roman" w:hAnsi="Times New Roman"/>
          <w:sz w:val="18"/>
          <w:szCs w:val="18"/>
        </w:rPr>
        <w:footnoteRef/>
      </w:r>
      <w:r w:rsidRPr="00551095">
        <w:rPr>
          <w:rFonts w:ascii="Times New Roman" w:hAnsi="Times New Roman"/>
          <w:sz w:val="18"/>
          <w:szCs w:val="18"/>
        </w:rPr>
        <w:t xml:space="preserve"> Статистический бюллетень Росстата «О заработной плате работников организаций по категориям персон</w:t>
      </w:r>
      <w:r w:rsidRPr="00551095">
        <w:rPr>
          <w:rFonts w:ascii="Times New Roman" w:hAnsi="Times New Roman"/>
          <w:sz w:val="18"/>
          <w:szCs w:val="18"/>
        </w:rPr>
        <w:t>а</w:t>
      </w:r>
      <w:r w:rsidRPr="00551095">
        <w:rPr>
          <w:rFonts w:ascii="Times New Roman" w:hAnsi="Times New Roman"/>
          <w:sz w:val="18"/>
          <w:szCs w:val="18"/>
        </w:rPr>
        <w:t>ла и профессиональным группам работников за октябрь 2017 г.»</w:t>
      </w:r>
    </w:p>
    <w:p w:rsidR="00120067" w:rsidRPr="00551095" w:rsidRDefault="00120067" w:rsidP="00F15372">
      <w:pPr>
        <w:spacing w:after="0" w:line="240" w:lineRule="auto"/>
        <w:jc w:val="both"/>
        <w:rPr>
          <w:sz w:val="18"/>
          <w:szCs w:val="18"/>
        </w:rPr>
      </w:pPr>
      <w:hyperlink r:id="rId1" w:history="1">
        <w:r w:rsidRPr="00551095">
          <w:rPr>
            <w:rStyle w:val="af"/>
            <w:rFonts w:ascii="Times New Roman" w:hAnsi="Times New Roman"/>
            <w:sz w:val="18"/>
            <w:szCs w:val="18"/>
          </w:rPr>
          <w:t>http://www.gks.ru/wps/wcm/connect/rosstat_main/rosstat/ru/statistics/wages/labour_costs/</w:t>
        </w:r>
      </w:hyperlink>
    </w:p>
    <w:p w:rsidR="00120067" w:rsidRPr="002228D5" w:rsidRDefault="00120067" w:rsidP="00147DDB">
      <w:pPr>
        <w:pStyle w:val="af0"/>
        <w:jc w:val="both"/>
      </w:pPr>
    </w:p>
  </w:footnote>
  <w:footnote w:id="8">
    <w:p w:rsidR="00120067" w:rsidRPr="00551095" w:rsidRDefault="00120067" w:rsidP="00147DDB">
      <w:pPr>
        <w:pStyle w:val="af0"/>
        <w:jc w:val="both"/>
        <w:rPr>
          <w:sz w:val="18"/>
          <w:szCs w:val="18"/>
        </w:rPr>
      </w:pPr>
      <w:r w:rsidRPr="00551095">
        <w:rPr>
          <w:rStyle w:val="af1"/>
          <w:sz w:val="18"/>
          <w:szCs w:val="18"/>
        </w:rPr>
        <w:footnoteRef/>
      </w:r>
      <w:r w:rsidRPr="00551095">
        <w:rPr>
          <w:sz w:val="18"/>
          <w:szCs w:val="18"/>
        </w:rPr>
        <w:t xml:space="preserve"> Рассчитано по данным раздела 1.1 «Основные экономические показатели по виду деятельности «Стро</w:t>
      </w:r>
      <w:r w:rsidRPr="00551095">
        <w:rPr>
          <w:sz w:val="18"/>
          <w:szCs w:val="18"/>
        </w:rPr>
        <w:t>и</w:t>
      </w:r>
      <w:r w:rsidRPr="00551095">
        <w:rPr>
          <w:sz w:val="18"/>
          <w:szCs w:val="18"/>
        </w:rPr>
        <w:t>тельство» сборника Росстата «Строительство в России»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67" w:rsidRDefault="00491E3B" w:rsidP="004A4CA1">
    <w:pPr>
      <w:pStyle w:val="a3"/>
      <w:tabs>
        <w:tab w:val="clear" w:pos="4677"/>
        <w:tab w:val="clear" w:pos="9355"/>
        <w:tab w:val="left" w:pos="1948"/>
      </w:tabs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377190</wp:posOffset>
          </wp:positionV>
          <wp:extent cx="6511290" cy="122555"/>
          <wp:effectExtent l="0" t="0" r="0" b="0"/>
          <wp:wrapNone/>
          <wp:docPr id="2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29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06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67" w:rsidRDefault="00491E3B" w:rsidP="00C93EB0">
    <w:pPr>
      <w:pStyle w:val="a3"/>
      <w:tabs>
        <w:tab w:val="clear" w:pos="4677"/>
        <w:tab w:val="clear" w:pos="9355"/>
        <w:tab w:val="left" w:pos="146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-228600</wp:posOffset>
          </wp:positionH>
          <wp:positionV relativeFrom="page">
            <wp:posOffset>622935</wp:posOffset>
          </wp:positionV>
          <wp:extent cx="8915400" cy="113665"/>
          <wp:effectExtent l="0" t="0" r="0" b="0"/>
          <wp:wrapNone/>
          <wp:docPr id="1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0" cy="11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0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545"/>
    <w:multiLevelType w:val="hybridMultilevel"/>
    <w:tmpl w:val="9724E8A0"/>
    <w:lvl w:ilvl="0" w:tplc="68A84DE2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0CC64E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764E"/>
    <w:multiLevelType w:val="hybridMultilevel"/>
    <w:tmpl w:val="9C82BB06"/>
    <w:lvl w:ilvl="0" w:tplc="68A84DE2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68D89D14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E6BDF"/>
    <w:multiLevelType w:val="multilevel"/>
    <w:tmpl w:val="8B584A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3" w15:restartNumberingAfterBreak="0">
    <w:nsid w:val="10831B02"/>
    <w:multiLevelType w:val="hybridMultilevel"/>
    <w:tmpl w:val="6264EE4C"/>
    <w:lvl w:ilvl="0" w:tplc="68D89D14">
      <w:start w:val="1"/>
      <w:numFmt w:val="bullet"/>
      <w:lvlText w:val=""/>
      <w:lvlJc w:val="left"/>
      <w:pPr>
        <w:tabs>
          <w:tab w:val="num" w:pos="2492"/>
        </w:tabs>
        <w:ind w:left="2492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4006F6"/>
    <w:multiLevelType w:val="hybridMultilevel"/>
    <w:tmpl w:val="7988E0AA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A0BE5"/>
    <w:multiLevelType w:val="hybridMultilevel"/>
    <w:tmpl w:val="DF6CB0CA"/>
    <w:lvl w:ilvl="0" w:tplc="68D89D14">
      <w:start w:val="1"/>
      <w:numFmt w:val="bullet"/>
      <w:lvlText w:val=""/>
      <w:lvlJc w:val="left"/>
      <w:pPr>
        <w:tabs>
          <w:tab w:val="num" w:pos="2492"/>
        </w:tabs>
        <w:ind w:left="2492" w:hanging="360"/>
      </w:pPr>
      <w:rPr>
        <w:rFonts w:ascii="Wingdings" w:hAnsi="Wingdings" w:hint="default"/>
      </w:rPr>
    </w:lvl>
    <w:lvl w:ilvl="1" w:tplc="0CC64E8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772F00"/>
    <w:multiLevelType w:val="hybridMultilevel"/>
    <w:tmpl w:val="A656D052"/>
    <w:lvl w:ilvl="0" w:tplc="32A2E866">
      <w:start w:val="1"/>
      <w:numFmt w:val="bullet"/>
      <w:lvlText w:val=""/>
      <w:lvlJc w:val="left"/>
      <w:pPr>
        <w:ind w:left="2293" w:hanging="360"/>
      </w:pPr>
      <w:rPr>
        <w:rFonts w:ascii="Symbol" w:hAnsi="Symbol" w:hint="default"/>
      </w:rPr>
    </w:lvl>
    <w:lvl w:ilvl="1" w:tplc="0CC64E8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F71DA3"/>
    <w:multiLevelType w:val="hybridMultilevel"/>
    <w:tmpl w:val="701090A0"/>
    <w:lvl w:ilvl="0" w:tplc="8092CB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8B7960"/>
    <w:multiLevelType w:val="hybridMultilevel"/>
    <w:tmpl w:val="6CD80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71908"/>
    <w:multiLevelType w:val="hybridMultilevel"/>
    <w:tmpl w:val="E27C5F44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C7FC3"/>
    <w:multiLevelType w:val="hybridMultilevel"/>
    <w:tmpl w:val="4E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756F91"/>
    <w:multiLevelType w:val="hybridMultilevel"/>
    <w:tmpl w:val="50FA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6E3CDA"/>
    <w:multiLevelType w:val="hybridMultilevel"/>
    <w:tmpl w:val="8E46AE16"/>
    <w:lvl w:ilvl="0" w:tplc="32A2E866">
      <w:start w:val="1"/>
      <w:numFmt w:val="bullet"/>
      <w:lvlText w:val=""/>
      <w:lvlJc w:val="left"/>
      <w:pPr>
        <w:ind w:left="2293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C92847"/>
    <w:multiLevelType w:val="hybridMultilevel"/>
    <w:tmpl w:val="B1360A98"/>
    <w:lvl w:ilvl="0" w:tplc="7E4E0AC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07BD9"/>
    <w:multiLevelType w:val="hybridMultilevel"/>
    <w:tmpl w:val="E8E652D4"/>
    <w:lvl w:ilvl="0" w:tplc="32A2E866">
      <w:start w:val="1"/>
      <w:numFmt w:val="bullet"/>
      <w:lvlText w:val=""/>
      <w:lvlJc w:val="left"/>
      <w:pPr>
        <w:ind w:left="2293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553326"/>
    <w:multiLevelType w:val="multilevel"/>
    <w:tmpl w:val="E3C244E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15"/>
  </w:num>
  <w:num w:numId="6">
    <w:abstractNumId w:val="13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2"/>
    <w:rsid w:val="0000328A"/>
    <w:rsid w:val="00003886"/>
    <w:rsid w:val="00021893"/>
    <w:rsid w:val="000415F3"/>
    <w:rsid w:val="00061CE4"/>
    <w:rsid w:val="0009038E"/>
    <w:rsid w:val="0009385F"/>
    <w:rsid w:val="000A0D56"/>
    <w:rsid w:val="000A6F76"/>
    <w:rsid w:val="000B1D3F"/>
    <w:rsid w:val="000D0E2A"/>
    <w:rsid w:val="000D1F8A"/>
    <w:rsid w:val="000E0E12"/>
    <w:rsid w:val="000E304A"/>
    <w:rsid w:val="000E79A0"/>
    <w:rsid w:val="000F43BB"/>
    <w:rsid w:val="000F7B7E"/>
    <w:rsid w:val="00106480"/>
    <w:rsid w:val="0010692F"/>
    <w:rsid w:val="00113074"/>
    <w:rsid w:val="00120067"/>
    <w:rsid w:val="00126A62"/>
    <w:rsid w:val="00126F78"/>
    <w:rsid w:val="00131352"/>
    <w:rsid w:val="001427B0"/>
    <w:rsid w:val="00145214"/>
    <w:rsid w:val="00147DDB"/>
    <w:rsid w:val="00153C9C"/>
    <w:rsid w:val="00153D4A"/>
    <w:rsid w:val="00160F55"/>
    <w:rsid w:val="001703BF"/>
    <w:rsid w:val="001842CA"/>
    <w:rsid w:val="00191621"/>
    <w:rsid w:val="001A2A10"/>
    <w:rsid w:val="001B1DF7"/>
    <w:rsid w:val="001C7DDF"/>
    <w:rsid w:val="001D3981"/>
    <w:rsid w:val="001E7EDD"/>
    <w:rsid w:val="001F08EE"/>
    <w:rsid w:val="002064A9"/>
    <w:rsid w:val="00220B69"/>
    <w:rsid w:val="00225CCB"/>
    <w:rsid w:val="0023331B"/>
    <w:rsid w:val="00240053"/>
    <w:rsid w:val="0025149A"/>
    <w:rsid w:val="002669EF"/>
    <w:rsid w:val="00277884"/>
    <w:rsid w:val="002959AA"/>
    <w:rsid w:val="00296A02"/>
    <w:rsid w:val="002A48A6"/>
    <w:rsid w:val="002B168F"/>
    <w:rsid w:val="002B758B"/>
    <w:rsid w:val="00300B27"/>
    <w:rsid w:val="00310C97"/>
    <w:rsid w:val="003139D3"/>
    <w:rsid w:val="00315608"/>
    <w:rsid w:val="00320EBC"/>
    <w:rsid w:val="00321A2E"/>
    <w:rsid w:val="0033601D"/>
    <w:rsid w:val="00340BDB"/>
    <w:rsid w:val="003446A0"/>
    <w:rsid w:val="00344C49"/>
    <w:rsid w:val="003668D6"/>
    <w:rsid w:val="00370F11"/>
    <w:rsid w:val="00376A76"/>
    <w:rsid w:val="00397B2D"/>
    <w:rsid w:val="003A61B1"/>
    <w:rsid w:val="003B63E8"/>
    <w:rsid w:val="003D16A0"/>
    <w:rsid w:val="003D35CA"/>
    <w:rsid w:val="003E330C"/>
    <w:rsid w:val="003E35B4"/>
    <w:rsid w:val="003F286F"/>
    <w:rsid w:val="00400972"/>
    <w:rsid w:val="00401851"/>
    <w:rsid w:val="00427E9E"/>
    <w:rsid w:val="00430631"/>
    <w:rsid w:val="0043642E"/>
    <w:rsid w:val="004406AF"/>
    <w:rsid w:val="00454F8B"/>
    <w:rsid w:val="00455529"/>
    <w:rsid w:val="00457932"/>
    <w:rsid w:val="00461C62"/>
    <w:rsid w:val="004878F1"/>
    <w:rsid w:val="00491E3B"/>
    <w:rsid w:val="0049668C"/>
    <w:rsid w:val="004A367A"/>
    <w:rsid w:val="004A497C"/>
    <w:rsid w:val="004A4CA1"/>
    <w:rsid w:val="004C752A"/>
    <w:rsid w:val="004D3B20"/>
    <w:rsid w:val="004E004B"/>
    <w:rsid w:val="004E0171"/>
    <w:rsid w:val="004F46EB"/>
    <w:rsid w:val="004F5BD9"/>
    <w:rsid w:val="005035F5"/>
    <w:rsid w:val="00511A6C"/>
    <w:rsid w:val="00511BE7"/>
    <w:rsid w:val="00520E11"/>
    <w:rsid w:val="00532F14"/>
    <w:rsid w:val="005472D7"/>
    <w:rsid w:val="00551095"/>
    <w:rsid w:val="005938B2"/>
    <w:rsid w:val="005A1D49"/>
    <w:rsid w:val="005A3744"/>
    <w:rsid w:val="005D1185"/>
    <w:rsid w:val="005D7398"/>
    <w:rsid w:val="005E1DA1"/>
    <w:rsid w:val="005E7B84"/>
    <w:rsid w:val="005F1932"/>
    <w:rsid w:val="006032DB"/>
    <w:rsid w:val="00610248"/>
    <w:rsid w:val="00625398"/>
    <w:rsid w:val="00633918"/>
    <w:rsid w:val="0063710D"/>
    <w:rsid w:val="006401CC"/>
    <w:rsid w:val="006406AC"/>
    <w:rsid w:val="00655703"/>
    <w:rsid w:val="0066478D"/>
    <w:rsid w:val="006773C4"/>
    <w:rsid w:val="00687E50"/>
    <w:rsid w:val="00696DE8"/>
    <w:rsid w:val="006A0B99"/>
    <w:rsid w:val="006D5723"/>
    <w:rsid w:val="006E3858"/>
    <w:rsid w:val="006E61AA"/>
    <w:rsid w:val="00713149"/>
    <w:rsid w:val="00727B98"/>
    <w:rsid w:val="00733D04"/>
    <w:rsid w:val="007408F7"/>
    <w:rsid w:val="0075011A"/>
    <w:rsid w:val="007574AF"/>
    <w:rsid w:val="00760096"/>
    <w:rsid w:val="007645A1"/>
    <w:rsid w:val="00774A39"/>
    <w:rsid w:val="007769F6"/>
    <w:rsid w:val="007777E9"/>
    <w:rsid w:val="00780496"/>
    <w:rsid w:val="007831E5"/>
    <w:rsid w:val="00797EFC"/>
    <w:rsid w:val="007B1EF4"/>
    <w:rsid w:val="007B3811"/>
    <w:rsid w:val="007B55AE"/>
    <w:rsid w:val="007C63B6"/>
    <w:rsid w:val="007C71B3"/>
    <w:rsid w:val="007D0A23"/>
    <w:rsid w:val="007E1E9E"/>
    <w:rsid w:val="007E60C5"/>
    <w:rsid w:val="007E65D4"/>
    <w:rsid w:val="007F0082"/>
    <w:rsid w:val="007F2652"/>
    <w:rsid w:val="007F6B24"/>
    <w:rsid w:val="00812F40"/>
    <w:rsid w:val="00816807"/>
    <w:rsid w:val="0082388D"/>
    <w:rsid w:val="00860FFA"/>
    <w:rsid w:val="00875038"/>
    <w:rsid w:val="00881E69"/>
    <w:rsid w:val="00893C57"/>
    <w:rsid w:val="00896CC4"/>
    <w:rsid w:val="008A5477"/>
    <w:rsid w:val="008A6946"/>
    <w:rsid w:val="008C1DFF"/>
    <w:rsid w:val="008C486D"/>
    <w:rsid w:val="008D293A"/>
    <w:rsid w:val="008E55B5"/>
    <w:rsid w:val="008F120F"/>
    <w:rsid w:val="008F1807"/>
    <w:rsid w:val="008F2879"/>
    <w:rsid w:val="009024C4"/>
    <w:rsid w:val="009026B4"/>
    <w:rsid w:val="009324B3"/>
    <w:rsid w:val="00933BDA"/>
    <w:rsid w:val="009435FD"/>
    <w:rsid w:val="00975F00"/>
    <w:rsid w:val="009779CD"/>
    <w:rsid w:val="009818BC"/>
    <w:rsid w:val="00982B9C"/>
    <w:rsid w:val="009862A3"/>
    <w:rsid w:val="00987709"/>
    <w:rsid w:val="00993767"/>
    <w:rsid w:val="009945F5"/>
    <w:rsid w:val="009978FC"/>
    <w:rsid w:val="009A056F"/>
    <w:rsid w:val="009A305D"/>
    <w:rsid w:val="009A5831"/>
    <w:rsid w:val="009B6C38"/>
    <w:rsid w:val="009B7722"/>
    <w:rsid w:val="009C3AC4"/>
    <w:rsid w:val="009D1EB4"/>
    <w:rsid w:val="009E3FB2"/>
    <w:rsid w:val="009F1915"/>
    <w:rsid w:val="009F35E2"/>
    <w:rsid w:val="009F792A"/>
    <w:rsid w:val="00A11EF4"/>
    <w:rsid w:val="00A15753"/>
    <w:rsid w:val="00A16EF6"/>
    <w:rsid w:val="00A374FA"/>
    <w:rsid w:val="00A41EC3"/>
    <w:rsid w:val="00A42044"/>
    <w:rsid w:val="00A538F8"/>
    <w:rsid w:val="00A80EB4"/>
    <w:rsid w:val="00A81C0A"/>
    <w:rsid w:val="00A90614"/>
    <w:rsid w:val="00A94A37"/>
    <w:rsid w:val="00A97846"/>
    <w:rsid w:val="00AA03E4"/>
    <w:rsid w:val="00AB4CA4"/>
    <w:rsid w:val="00AC2D2F"/>
    <w:rsid w:val="00AD2EBC"/>
    <w:rsid w:val="00AE6EF0"/>
    <w:rsid w:val="00AE711C"/>
    <w:rsid w:val="00AE76EA"/>
    <w:rsid w:val="00AF086B"/>
    <w:rsid w:val="00B01C0E"/>
    <w:rsid w:val="00B02DA3"/>
    <w:rsid w:val="00B03272"/>
    <w:rsid w:val="00B13CAB"/>
    <w:rsid w:val="00B140E2"/>
    <w:rsid w:val="00B343B3"/>
    <w:rsid w:val="00B35B90"/>
    <w:rsid w:val="00B44B76"/>
    <w:rsid w:val="00B56CD9"/>
    <w:rsid w:val="00B664A2"/>
    <w:rsid w:val="00B70C79"/>
    <w:rsid w:val="00B718DB"/>
    <w:rsid w:val="00B76BF6"/>
    <w:rsid w:val="00B83D4A"/>
    <w:rsid w:val="00BA09D3"/>
    <w:rsid w:val="00BA7931"/>
    <w:rsid w:val="00BB04B2"/>
    <w:rsid w:val="00BD5912"/>
    <w:rsid w:val="00C110D5"/>
    <w:rsid w:val="00C20F10"/>
    <w:rsid w:val="00C32DE7"/>
    <w:rsid w:val="00C41FA6"/>
    <w:rsid w:val="00C44149"/>
    <w:rsid w:val="00C62D1C"/>
    <w:rsid w:val="00C6715F"/>
    <w:rsid w:val="00C707B9"/>
    <w:rsid w:val="00C72B41"/>
    <w:rsid w:val="00C730ED"/>
    <w:rsid w:val="00C8037A"/>
    <w:rsid w:val="00C93EB0"/>
    <w:rsid w:val="00C946DA"/>
    <w:rsid w:val="00C95290"/>
    <w:rsid w:val="00CA5986"/>
    <w:rsid w:val="00CB5728"/>
    <w:rsid w:val="00CB756E"/>
    <w:rsid w:val="00CB760F"/>
    <w:rsid w:val="00CD6146"/>
    <w:rsid w:val="00CE3A31"/>
    <w:rsid w:val="00D0291C"/>
    <w:rsid w:val="00D03EF0"/>
    <w:rsid w:val="00D04A84"/>
    <w:rsid w:val="00D055E8"/>
    <w:rsid w:val="00D22DCD"/>
    <w:rsid w:val="00D3594D"/>
    <w:rsid w:val="00D41E57"/>
    <w:rsid w:val="00D45CC3"/>
    <w:rsid w:val="00D6695C"/>
    <w:rsid w:val="00D83367"/>
    <w:rsid w:val="00D8465D"/>
    <w:rsid w:val="00D855AB"/>
    <w:rsid w:val="00D85B77"/>
    <w:rsid w:val="00D8712A"/>
    <w:rsid w:val="00DA36E3"/>
    <w:rsid w:val="00DC5806"/>
    <w:rsid w:val="00DC6ED8"/>
    <w:rsid w:val="00DF48C8"/>
    <w:rsid w:val="00E17AD8"/>
    <w:rsid w:val="00E20E2A"/>
    <w:rsid w:val="00E232B1"/>
    <w:rsid w:val="00E42A16"/>
    <w:rsid w:val="00E4519A"/>
    <w:rsid w:val="00E56B52"/>
    <w:rsid w:val="00E575BF"/>
    <w:rsid w:val="00E62C51"/>
    <w:rsid w:val="00E80E23"/>
    <w:rsid w:val="00E90ADF"/>
    <w:rsid w:val="00E97D47"/>
    <w:rsid w:val="00EA343C"/>
    <w:rsid w:val="00EA417E"/>
    <w:rsid w:val="00EB01F2"/>
    <w:rsid w:val="00ED09E4"/>
    <w:rsid w:val="00EE12BC"/>
    <w:rsid w:val="00EE5AB3"/>
    <w:rsid w:val="00F15372"/>
    <w:rsid w:val="00F16628"/>
    <w:rsid w:val="00F17000"/>
    <w:rsid w:val="00F17BDE"/>
    <w:rsid w:val="00F3176F"/>
    <w:rsid w:val="00F50A71"/>
    <w:rsid w:val="00F538EC"/>
    <w:rsid w:val="00F60C33"/>
    <w:rsid w:val="00F614A3"/>
    <w:rsid w:val="00F6270A"/>
    <w:rsid w:val="00F67BEC"/>
    <w:rsid w:val="00F83F2A"/>
    <w:rsid w:val="00F846EB"/>
    <w:rsid w:val="00F86E62"/>
    <w:rsid w:val="00F90493"/>
    <w:rsid w:val="00FA150E"/>
    <w:rsid w:val="00FA1C39"/>
    <w:rsid w:val="00FA7A30"/>
    <w:rsid w:val="00FC0EA8"/>
    <w:rsid w:val="00FD21E3"/>
    <w:rsid w:val="00FD76FE"/>
    <w:rsid w:val="00FE67FD"/>
    <w:rsid w:val="00FE68EA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526AB"/>
  <w15:chartTrackingRefBased/>
  <w15:docId w15:val="{23AD02B9-4FCF-4799-96F7-0442753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3B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B664A2"/>
    <w:rPr>
      <w:rFonts w:cs="Times New Roman"/>
    </w:rPr>
  </w:style>
  <w:style w:type="paragraph" w:styleId="a5">
    <w:name w:val="footer"/>
    <w:basedOn w:val="a"/>
    <w:link w:val="a6"/>
    <w:rsid w:val="00B6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B664A2"/>
    <w:rPr>
      <w:rFonts w:cs="Times New Roman"/>
    </w:rPr>
  </w:style>
  <w:style w:type="table" w:styleId="a7">
    <w:name w:val="Table Grid"/>
    <w:basedOn w:val="a1"/>
    <w:rsid w:val="006E38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CB5728"/>
    <w:pPr>
      <w:ind w:left="720"/>
      <w:contextualSpacing/>
    </w:pPr>
  </w:style>
  <w:style w:type="paragraph" w:styleId="a8">
    <w:name w:val="Balloon Text"/>
    <w:basedOn w:val="a"/>
    <w:link w:val="a9"/>
    <w:semiHidden/>
    <w:rsid w:val="0029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296A02"/>
    <w:rPr>
      <w:rFonts w:ascii="Segoe UI" w:hAnsi="Segoe UI" w:cs="Segoe UI"/>
      <w:sz w:val="18"/>
      <w:szCs w:val="18"/>
    </w:rPr>
  </w:style>
  <w:style w:type="character" w:styleId="aa">
    <w:name w:val="annotation reference"/>
    <w:semiHidden/>
    <w:rsid w:val="00296A0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296A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296A02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296A02"/>
    <w:rPr>
      <w:b/>
      <w:bCs/>
    </w:rPr>
  </w:style>
  <w:style w:type="character" w:customStyle="1" w:styleId="ae">
    <w:name w:val="Тема примечания Знак"/>
    <w:link w:val="ad"/>
    <w:semiHidden/>
    <w:locked/>
    <w:rsid w:val="00296A02"/>
    <w:rPr>
      <w:rFonts w:cs="Times New Roman"/>
      <w:b/>
      <w:bCs/>
      <w:sz w:val="20"/>
      <w:szCs w:val="20"/>
    </w:rPr>
  </w:style>
  <w:style w:type="paragraph" w:customStyle="1" w:styleId="Revision">
    <w:name w:val="Revision"/>
    <w:hidden/>
    <w:semiHidden/>
    <w:rsid w:val="00875038"/>
    <w:rPr>
      <w:rFonts w:eastAsia="Times New Roman"/>
      <w:sz w:val="22"/>
      <w:szCs w:val="22"/>
      <w:lang w:eastAsia="en-US"/>
    </w:rPr>
  </w:style>
  <w:style w:type="character" w:styleId="af">
    <w:name w:val="Hyperlink"/>
    <w:rsid w:val="00713149"/>
    <w:rPr>
      <w:color w:val="0000FF"/>
      <w:u w:val="single"/>
    </w:rPr>
  </w:style>
  <w:style w:type="paragraph" w:styleId="1">
    <w:name w:val="toc 1"/>
    <w:basedOn w:val="a"/>
    <w:next w:val="a"/>
    <w:autoRedefine/>
    <w:semiHidden/>
    <w:locked/>
    <w:rsid w:val="0071314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footnote text"/>
    <w:basedOn w:val="a"/>
    <w:semiHidden/>
    <w:rsid w:val="008A547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f1">
    <w:name w:val="footnote reference"/>
    <w:semiHidden/>
    <w:rsid w:val="008A5477"/>
    <w:rPr>
      <w:vertAlign w:val="superscript"/>
    </w:rPr>
  </w:style>
  <w:style w:type="paragraph" w:customStyle="1" w:styleId="af2">
    <w:name w:val="Методика основной текст"/>
    <w:basedOn w:val="a"/>
    <w:link w:val="af3"/>
    <w:rsid w:val="00993767"/>
    <w:pPr>
      <w:widowControl w:val="0"/>
      <w:spacing w:after="0" w:line="36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3">
    <w:name w:val="Методика основной текст Знак"/>
    <w:link w:val="af2"/>
    <w:locked/>
    <w:rsid w:val="00993767"/>
    <w:rPr>
      <w:sz w:val="28"/>
      <w:lang w:val="ru-RU" w:eastAsia="ru-RU" w:bidi="ar-SA"/>
    </w:rPr>
  </w:style>
  <w:style w:type="paragraph" w:customStyle="1" w:styleId="dt-p">
    <w:name w:val="dt-p"/>
    <w:basedOn w:val="a"/>
    <w:rsid w:val="0099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ks.ru/wps/wcm/connect/rosstat_main/rosstat/ru/statistics/wages/labour_cos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s.ru/wps/wcm/connect/rosstat_main/rosstat/ru/statistics/wages/labour_co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6043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HP</Company>
  <LinksUpToDate>false</LinksUpToDate>
  <CharactersWithSpaces>40409</CharactersWithSpaces>
  <SharedDoc>false</SharedDoc>
  <HLinks>
    <vt:vector size="48" baseType="variant">
      <vt:variant>
        <vt:i4>5701656</vt:i4>
      </vt:variant>
      <vt:variant>
        <vt:i4>42</vt:i4>
      </vt:variant>
      <vt:variant>
        <vt:i4>0</vt:i4>
      </vt:variant>
      <vt:variant>
        <vt:i4>5</vt:i4>
      </vt:variant>
      <vt:variant>
        <vt:lpwstr>http://www.gks.ru/wps/wcm/connect/rosstat_main/rosstat/ru/statistics/wages/labour_costs/</vt:lpwstr>
      </vt:variant>
      <vt:variant>
        <vt:lpwstr/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_Toc527914220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_Toc527914219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_Toc527914218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_Toc527914217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_Toc527914216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_Toc527914215</vt:lpwstr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http://www.gks.ru/wps/wcm/connect/rosstat_main/rosstat/ru/statistics/wages/labour_costs/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HP</dc:creator>
  <cp:keywords/>
  <cp:lastModifiedBy>AVER</cp:lastModifiedBy>
  <cp:revision>2</cp:revision>
  <cp:lastPrinted>2018-09-13T11:37:00Z</cp:lastPrinted>
  <dcterms:created xsi:type="dcterms:W3CDTF">2019-11-28T08:20:00Z</dcterms:created>
  <dcterms:modified xsi:type="dcterms:W3CDTF">2019-11-28T08:20:00Z</dcterms:modified>
</cp:coreProperties>
</file>