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5529"/>
        <w:gridCol w:w="6474"/>
      </w:tblGrid>
      <w:tr w:rsidR="002B1B09" w:rsidRPr="002B1B09" w:rsidTr="002B1B09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2B1B09" w:rsidRPr="002B1B09" w:rsidTr="002B1B09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Телефоны: 34-86-01, тел/факс: 34-86-00</w:t>
            </w:r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4" w:history="1"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42@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5" w:history="1"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kemrccs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2B1B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32212413, ОГРН 1024200698840</w:t>
            </w:r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4207012923/420501001</w:t>
            </w:r>
          </w:p>
        </w:tc>
      </w:tr>
      <w:tr w:rsidR="002B1B09" w:rsidRPr="002B1B09" w:rsidTr="002B1B09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Участникам</w:t>
            </w:r>
            <w:r w:rsidRPr="002B1B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инвестиционного</w:t>
            </w:r>
            <w:r w:rsidRPr="002B1B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процесса</w:t>
            </w:r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2B1B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строительстве</w:t>
            </w:r>
            <w:r w:rsidRPr="002B1B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2B1B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территории</w:t>
            </w:r>
          </w:p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</w:t>
            </w:r>
            <w:r w:rsidRPr="002B1B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1B09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области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B1B09" w:rsidRPr="002B1B09" w:rsidRDefault="002B1B09" w:rsidP="002B1B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Выписка из областного ежемесячного информационно-аналитического</w:t>
      </w:r>
    </w:p>
    <w:p w:rsidR="002B1B09" w:rsidRPr="002B1B09" w:rsidRDefault="002B1B09" w:rsidP="002B1B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бюллетеня «Цены в строительстве» № 08 Август 2019 г.</w:t>
      </w:r>
    </w:p>
    <w:p w:rsidR="002B1B09" w:rsidRPr="002B1B09" w:rsidRDefault="002B1B09" w:rsidP="002B1B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соответствии с функциями, возложенными на Государственное учреждение региональный Центр по ценообразованию в строительстве Кемеровской распоряжениями Администрации Кемеровской области от 20.05.1998 г. № 487-р,</w:t>
      </w:r>
    </w:p>
    <w:p w:rsidR="002B1B09" w:rsidRPr="002B1B09" w:rsidRDefault="002B1B09" w:rsidP="002B1B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от 27.10.98 г. № 1153-р и от 17.02.2003 г. № 143-р, Центр рекомендует с </w:t>
      </w:r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1 августа 2019 г.</w:t>
      </w: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региональные индексы пересчета сметной стоимости строительства для применения на территории Кемеровской области.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Региональные индексы пересчета сметной </w:t>
      </w:r>
      <w:proofErr w:type="gramStart"/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стоимости  для</w:t>
      </w:r>
      <w:proofErr w:type="gramEnd"/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 объектов, финансируемых за счет бюджетных средств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1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23"/>
        <w:gridCol w:w="2162"/>
      </w:tblGrid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10,322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11,161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01.01.2000 года (к ТСНБ-2001, в редакции 2010 г., 2014 г. с изм. и доп. 1, 2, 3 )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9,291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01.01.2000 года (к ТСНБ-2001, в редакции 2001 г.,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22,030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в уровне цен на 01.01.2000 года (к ТСНБ-2001, в редакции 2001 г., 2010 г., 2014 г. с изм. и доп. 1, 2, 3 )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24,151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45 333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01.01.2000 года (к ТСНБ-2001, в редакции 2001 г.,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24,151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6,802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6,954</w:t>
            </w:r>
          </w:p>
        </w:tc>
      </w:tr>
      <w:tr w:rsidR="002B1B09" w:rsidRPr="002B1B09" w:rsidTr="002B1B09">
        <w:trPr>
          <w:trHeight w:val="840"/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6,890</w:t>
            </w:r>
          </w:p>
        </w:tc>
      </w:tr>
      <w:tr w:rsidR="002B1B09" w:rsidRPr="002B1B09" w:rsidTr="002B1B09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6,474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на СМР, КВ обусловлен отменой понижающих коэффициентов к НР и СП 0,8 и 0,85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B1B09" w:rsidRPr="002B1B09" w:rsidRDefault="002B1B09" w:rsidP="002B1B09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2B1B0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Региональные индексы пересчета сметной стоимости для объектов, финансируемых за счет внебюджетных средств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2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7"/>
        <w:gridCol w:w="2138"/>
      </w:tblGrid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01.01.2001 года (к ТСНБ-2000,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10,891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12,228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01.01.2000 года (к ТСНБ-2001, в редакции 2010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9,802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26,273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в уровне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26,273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49 311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26,273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7,032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7,194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7,073</w:t>
            </w:r>
          </w:p>
        </w:tc>
      </w:tr>
      <w:tr w:rsidR="002B1B09" w:rsidRPr="002B1B09" w:rsidTr="002B1B09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6,646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br/>
      </w:r>
      <w:r w:rsidRPr="002B1B0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на СМР, КВ обусловлен отменой понижающих коэффициентов к НР и СП 0,8 и 0,85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цен к прямым затратам на погрузо-разгрузочные работы и перевозку грузов автомобильным транспортом к сметным ценам на 01.01.2000 года (к сборникам сметных цен на перевозки грузов в редакции 2014 г. с изм. и доп. 1, 2, 3)</w:t>
      </w:r>
    </w:p>
    <w:p w:rsidR="002B1B09" w:rsidRPr="002B1B09" w:rsidRDefault="002B1B09" w:rsidP="002B1B09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3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 (ТССЦ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03-01)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9,734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(код 400001) (ТССЦ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03-02)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10,654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грузов автомобилями-самосвалами грузоподъемностью 10 т, работающих вне карьера (код 400052) (ТССЦ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03-21)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11,398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грузов автомобилями-самосвалами из карьеров (щебень, песок) (ТССЦ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03-22)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11,398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перегородных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(плит, панелей)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понелевозом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автомобильном ходу, грузоподъемностью 25 т (таблица 03-31)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10,040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длинномерных труб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трубоплетевозом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грузоподъемностью 12 т (таблица 03-32)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8,008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автобетоносмесителем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м3   (таблица 03-33)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8,145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Погрузо-разгрузочные работы при автомобильных перевозках (ТССЦ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12,821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провозной плате за перевозку грузов железнодорожным транспортом к сметным ценам на 01.01.2000 г.</w:t>
      </w:r>
    </w:p>
    <w:p w:rsidR="002B1B09" w:rsidRPr="002B1B09" w:rsidRDefault="002B1B09" w:rsidP="002B1B09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lastRenderedPageBreak/>
        <w:t>Таблица № 4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провозной плате за перевозку грузов ж/д транспортом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13,895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13,419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15,510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цен на погрузо-разгрузочные работы при ж/д перевозках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17,902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провозной плате за перевозку грузов автомобильным транспортом к уровню цен на 01.01.1991 г.</w:t>
      </w:r>
    </w:p>
    <w:p w:rsidR="002B1B09" w:rsidRPr="002B1B09" w:rsidRDefault="002B1B09" w:rsidP="002B1B09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5</w:t>
      </w:r>
    </w:p>
    <w:tbl>
      <w:tblPr>
        <w:tblW w:w="1228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7"/>
        <w:gridCol w:w="2358"/>
      </w:tblGrid>
      <w:tr w:rsidR="002B1B09" w:rsidRPr="002B1B09" w:rsidTr="002B1B09">
        <w:trPr>
          <w:trHeight w:val="705"/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бетонных и ж/бетонных изделий, стеновых и перегородочных материалов (кирпич, камни, плиты, панели), лесоматериалов круглых и пиломатериалов.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155,521</w:t>
            </w:r>
          </w:p>
        </w:tc>
      </w:tr>
      <w:tr w:rsidR="002B1B09" w:rsidRPr="002B1B09" w:rsidTr="002B1B09">
        <w:trPr>
          <w:trHeight w:val="930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ж/бетонных и перегородочных материалов (кирпич, блоки, камни плиты, панели), лесоматериалов круглых и пиломатериалов).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155,521</w:t>
            </w:r>
          </w:p>
        </w:tc>
      </w:tr>
      <w:tr w:rsidR="002B1B09" w:rsidRPr="002B1B09" w:rsidTr="002B1B09">
        <w:trPr>
          <w:trHeight w:val="435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(работающими вне карьеров)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150,517</w:t>
            </w:r>
          </w:p>
        </w:tc>
      </w:tr>
      <w:tr w:rsidR="002B1B09" w:rsidRPr="002B1B09" w:rsidTr="002B1B09">
        <w:trPr>
          <w:trHeight w:val="270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из карьеров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145,052</w:t>
            </w:r>
          </w:p>
        </w:tc>
      </w:tr>
      <w:tr w:rsidR="002B1B09" w:rsidRPr="002B1B09" w:rsidTr="002B1B09">
        <w:trPr>
          <w:trHeight w:val="255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251,013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B1B09" w:rsidRPr="002B1B09" w:rsidRDefault="002B1B09" w:rsidP="002B1B09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2B1B0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Индексы удорожания для применения при расчетах на строительно-монтажные и ремонтно-строительные работы, выполняемые организациями, работающими по упрощенной системе налогообложения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6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lastRenderedPageBreak/>
        <w:t>(для объектов, финансируемых за счет бюджетных средств)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2010 г., 2014 г. с изм. и доп. 1, 2, 3)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12,076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12,937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обусловлен отменой понижающих коэффициентов к НР и СП 0,8 и 0,85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7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(для объектов, финансируемых за счет внебюджетных средств</w:t>
      </w: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)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32"/>
        <w:gridCol w:w="2153"/>
      </w:tblGrid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2010 г., 2014 г. с изм. и доп. 1, 2, 3 )</w:t>
            </w:r>
          </w:p>
        </w:tc>
        <w:tc>
          <w:tcPr>
            <w:tcW w:w="127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12,856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27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13,727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Стоимостные показатели к элементам затрат на ремонтно-строительные работы для организаций ЖКХ по видам экономической деятельности,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согласно отраслевого тарифного соглашения на 2017 - 2019 </w:t>
      </w:r>
      <w:proofErr w:type="spellStart"/>
      <w:r w:rsidRPr="002B1B0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г.г</w:t>
      </w:r>
      <w:proofErr w:type="spellEnd"/>
      <w:r w:rsidRPr="002B1B0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(рег. № 8/17-19 от 14.04.2017 г.)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8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9"/>
        <w:gridCol w:w="1966"/>
      </w:tblGrid>
      <w:tr w:rsidR="002B1B09" w:rsidRPr="002B1B09" w:rsidTr="002B1B09">
        <w:trPr>
          <w:jc w:val="center"/>
        </w:trPr>
        <w:tc>
          <w:tcPr>
            <w:tcW w:w="624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34 132</w:t>
            </w:r>
          </w:p>
        </w:tc>
      </w:tr>
      <w:tr w:rsidR="002B1B09" w:rsidRPr="002B1B09" w:rsidTr="002B1B09">
        <w:trPr>
          <w:jc w:val="center"/>
        </w:trPr>
        <w:tc>
          <w:tcPr>
            <w:tcW w:w="624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к сметной оплате труда к уровню цен 01.01.2001г. (к ТСНБ-2001, в редакции 2010 г., 2014 г. с изм. и доп. 1, 2, 3 )</w:t>
            </w:r>
          </w:p>
        </w:tc>
        <w:tc>
          <w:tcPr>
            <w:tcW w:w="8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18,185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элементам затрат к уровню цен 2000 года на горнопроходческие работы при строительстве, реконструкции и техническом перевооружении шахт (по состоянию на III кв. 2019 года)</w:t>
      </w:r>
    </w:p>
    <w:p w:rsidR="002B1B09" w:rsidRPr="002B1B09" w:rsidRDefault="002B1B09" w:rsidP="002B1B09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9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уровню цен 01.01.2000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0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11,253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10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7,782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</w:t>
            </w:r>
          </w:p>
        </w:tc>
        <w:tc>
          <w:tcPr>
            <w:tcW w:w="10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6,025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</w:t>
            </w:r>
          </w:p>
        </w:tc>
        <w:tc>
          <w:tcPr>
            <w:tcW w:w="10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22,010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10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45 188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</w:t>
            </w:r>
          </w:p>
        </w:tc>
        <w:tc>
          <w:tcPr>
            <w:tcW w:w="10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95 307</w:t>
            </w:r>
          </w:p>
        </w:tc>
      </w:tr>
      <w:tr w:rsidR="002B1B09" w:rsidRPr="002B1B09" w:rsidTr="002B1B09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10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104 867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бюджетного финансирования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№10</w:t>
      </w:r>
    </w:p>
    <w:tbl>
      <w:tblPr>
        <w:tblW w:w="13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</w:tblGrid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55119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286.00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55848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224.86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56820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57744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58667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230.48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59639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60563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61526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62449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63372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392.00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64354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326.86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65277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внебюджетного финансирования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№11</w:t>
      </w:r>
    </w:p>
    <w:tbl>
      <w:tblPr>
        <w:tblW w:w="13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</w:tblGrid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418.64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68728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69637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70849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72001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319.33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73152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321.92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74364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62448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75516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47948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467.30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76717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474.31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77868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396.86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79019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340.37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80243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407.56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81395</w:t>
            </w:r>
          </w:p>
        </w:tc>
      </w:tr>
      <w:tr w:rsidR="002B1B09" w:rsidRPr="002B1B09" w:rsidTr="002B1B09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348.50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B09" w:rsidRPr="002B1B09" w:rsidRDefault="002B1B09" w:rsidP="002B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соответствии с Постановлением Госстроя России от 08.04.2002 г. № 16 «О мерах по завершению перехода на новую сметно-нормативную базу ценообразования в строительстве» и Постановлением от 27.01.2003 г. № 14 «О внесении изменений и дополнений в постановление Госстроя России от 08.04.2002 г. № 16 «О мерах по завершению перехода на новую сметно-нормативную базу ценообразования в строительстве» </w:t>
      </w:r>
      <w:r w:rsidRPr="002B1B0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сметно-нормативные базы 1984 и 1991 гг. утратили силу с 01.09.2003 г.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B1B09" w:rsidRPr="002B1B09" w:rsidRDefault="002B1B09" w:rsidP="002B1B0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Директор ГАУ КО "НЦЦС", к.э.н. </w:t>
      </w:r>
      <w:proofErr w:type="spellStart"/>
      <w:r w:rsidRPr="002B1B0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Л.К.Нефёдова</w:t>
      </w:r>
      <w:proofErr w:type="spellEnd"/>
    </w:p>
    <w:p w:rsidR="003B0643" w:rsidRDefault="003B0643"/>
    <w:sectPr w:rsidR="003B0643" w:rsidSect="002B1B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3E"/>
    <w:rsid w:val="002B1B09"/>
    <w:rsid w:val="003B0643"/>
    <w:rsid w:val="00B0008D"/>
    <w:rsid w:val="00B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80242-4677-412F-BE9C-B1F142DE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Рубель Ирина Владимировна</dc:creator>
  <cp:keywords/>
  <dc:description/>
  <cp:lastModifiedBy>Пользователь Windows</cp:lastModifiedBy>
  <cp:revision>2</cp:revision>
  <dcterms:created xsi:type="dcterms:W3CDTF">2019-09-06T13:39:00Z</dcterms:created>
  <dcterms:modified xsi:type="dcterms:W3CDTF">2019-09-06T13:39:00Z</dcterms:modified>
</cp:coreProperties>
</file>