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176"/>
        <w:gridCol w:w="4899"/>
      </w:tblGrid>
      <w:tr w:rsidR="009D26A3" w:rsidRPr="009D26A3" w:rsidTr="009D26A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учреждение </w:t>
            </w: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и экспертизам Кузбасса»</w:t>
            </w: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«НЦЦЭ Кузбасса»)</w:t>
            </w:r>
          </w:p>
        </w:tc>
      </w:tr>
      <w:tr w:rsidR="009D26A3" w:rsidRPr="009D26A3" w:rsidTr="009D26A3">
        <w:trPr>
          <w:trHeight w:val="34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9D26A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</w:t>
              </w:r>
              <w:r w:rsidRPr="009D26A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42@</w:t>
              </w:r>
              <w:r w:rsidRPr="009D26A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9D26A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9D26A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Pr="009D26A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9D26A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9D26A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9D26A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9D26A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9D26A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proofErr w:type="spellEnd"/>
              <w:r w:rsidRPr="009D26A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9D26A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9D26A3" w:rsidRPr="009D26A3" w:rsidTr="009D26A3">
        <w:trPr>
          <w:trHeight w:val="675"/>
          <w:tblCellSpacing w:w="15" w:type="dxa"/>
        </w:trPr>
        <w:tc>
          <w:tcPr>
            <w:tcW w:w="15" w:type="dxa"/>
            <w:vAlign w:val="center"/>
            <w:hideMark/>
          </w:tcPr>
          <w:p w:rsidR="009D26A3" w:rsidRPr="009D26A3" w:rsidRDefault="009D26A3" w:rsidP="009D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9D26A3" w:rsidRPr="009D26A3" w:rsidRDefault="009D26A3" w:rsidP="009D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</w:t>
      </w:r>
      <w:proofErr w:type="gramStart"/>
      <w:r w:rsidRPr="009D26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областного</w:t>
      </w:r>
      <w:proofErr w:type="gramEnd"/>
      <w:r w:rsidRPr="009D26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ежемесячного информационно-аналитического </w:t>
      </w:r>
    </w:p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  12.09.2022 г. № 1119 - </w:t>
      </w:r>
      <w:proofErr w:type="gramStart"/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текущих средних сметных ценах на</w:t>
      </w: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- Кузбасса на </w:t>
      </w: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</w:t>
      </w: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2022 года".</w:t>
      </w:r>
    </w:p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61 200 рубля.</w:t>
      </w:r>
    </w:p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9D26A3" w:rsidRPr="009D26A3" w:rsidRDefault="009D26A3" w:rsidP="009D26A3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9D26A3" w:rsidRPr="009D26A3" w:rsidTr="009D26A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9D26A3" w:rsidRPr="009D26A3" w:rsidTr="009D26A3">
        <w:trPr>
          <w:trHeight w:val="435"/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8,49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201,55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118,56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8,15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366,46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32,56</w:t>
            </w:r>
          </w:p>
        </w:tc>
      </w:tr>
    </w:tbl>
    <w:p w:rsidR="009D26A3" w:rsidRPr="009D26A3" w:rsidRDefault="009D26A3" w:rsidP="009D26A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D26A3" w:rsidRPr="009D26A3" w:rsidRDefault="009D26A3" w:rsidP="009D26A3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D26A3" w:rsidRPr="009D26A3" w:rsidRDefault="009D26A3" w:rsidP="009D26A3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9D26A3" w:rsidRPr="009D26A3" w:rsidRDefault="009D26A3" w:rsidP="009D26A3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9D26A3" w:rsidRPr="009D26A3" w:rsidTr="009D26A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г. и изм. и доп. 1,2,3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281,29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171,52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13,27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178,93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11,95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379,58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29,70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366,46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32,56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15,53</w:t>
            </w:r>
          </w:p>
        </w:tc>
      </w:tr>
    </w:tbl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III квартал 2022 г.)</w:t>
      </w:r>
    </w:p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9D26A3" w:rsidRPr="009D26A3" w:rsidTr="009D26A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7,44 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7,91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31,25</w:t>
            </w:r>
          </w:p>
        </w:tc>
      </w:tr>
    </w:tbl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26A3" w:rsidRPr="009D26A3" w:rsidRDefault="009D26A3" w:rsidP="009D26A3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  </w:t>
            </w: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12,09</w:t>
            </w:r>
          </w:p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</w:t>
            </w:r>
            <w:proofErr w:type="spellStart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12,89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14,27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(ТССЦ </w:t>
            </w:r>
            <w:proofErr w:type="spellStart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14,27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перегородных</w:t>
            </w:r>
            <w:proofErr w:type="spellEnd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12,58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</w:t>
            </w:r>
            <w:proofErr w:type="spellStart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трубоплетевозом</w:t>
            </w:r>
            <w:proofErr w:type="spellEnd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грузоподъемностью 12 т  </w:t>
            </w: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9,46 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автобетоносмесителем</w:t>
            </w:r>
            <w:proofErr w:type="spellEnd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16,46 </w:t>
            </w:r>
          </w:p>
        </w:tc>
      </w:tr>
    </w:tbl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III квартал 2022 г.)</w:t>
      </w:r>
    </w:p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к провозной плате за перевозку </w:t>
            </w:r>
            <w:proofErr w:type="gramStart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 ж</w:t>
            </w:r>
            <w:proofErr w:type="gramEnd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транспортом: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14,59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14,65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16,10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на погрузочно-разгрузочные работы </w:t>
            </w:r>
            <w:proofErr w:type="gramStart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ж</w:t>
            </w:r>
            <w:proofErr w:type="gramEnd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23,94</w:t>
            </w:r>
          </w:p>
        </w:tc>
      </w:tr>
    </w:tbl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191,77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</w:t>
            </w:r>
            <w:proofErr w:type="gramStart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191,77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185,60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178,87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328,72 </w:t>
            </w:r>
          </w:p>
        </w:tc>
      </w:tr>
    </w:tbl>
    <w:p w:rsidR="009D26A3" w:rsidRPr="009D26A3" w:rsidRDefault="009D26A3" w:rsidP="009D26A3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26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  также Кузбасского регионального соглашения</w:t>
      </w:r>
      <w:proofErr w:type="gramEnd"/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Кемеровским областным союзом организаций профсоюзов «Федерация профсоюзных организаций Кузбасса», Правительством Кемеровской области – Кузбасса и работодателями Кемеровской области – Кузбасса на 2022-2024 годы (подписано 07.10.2021, зарегистрировано Министерством труда и занятости населения Кузбасса 07.10.2021 № 12) </w:t>
      </w:r>
    </w:p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66 572 рублей.</w:t>
      </w:r>
    </w:p>
    <w:p w:rsidR="009D26A3" w:rsidRPr="009D26A3" w:rsidRDefault="009D26A3" w:rsidP="009D26A3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D26A3" w:rsidRPr="009D26A3" w:rsidRDefault="009D26A3" w:rsidP="009D26A3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9D26A3" w:rsidRPr="009D26A3" w:rsidRDefault="009D26A3" w:rsidP="009D26A3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9D26A3" w:rsidRPr="009D26A3" w:rsidTr="009D26A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178,78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103,94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8,21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8,74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208,59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8,45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503,87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398,63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35,42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35,42 </w:t>
            </w:r>
          </w:p>
        </w:tc>
      </w:tr>
    </w:tbl>
    <w:p w:rsidR="009D26A3" w:rsidRPr="009D26A3" w:rsidRDefault="009D26A3" w:rsidP="009D26A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D26A3" w:rsidRPr="009D26A3" w:rsidRDefault="009D26A3" w:rsidP="009D26A3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D26A3" w:rsidRPr="009D26A3" w:rsidRDefault="009D26A3" w:rsidP="009D26A3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9D26A3" w:rsidRPr="009D26A3" w:rsidRDefault="009D26A3" w:rsidP="009D26A3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314,27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191,63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14,07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194,64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12,63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450,24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34,75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398,63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35,42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35,42 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16,60</w:t>
            </w:r>
          </w:p>
        </w:tc>
      </w:tr>
    </w:tbl>
    <w:p w:rsidR="009D26A3" w:rsidRPr="009D26A3" w:rsidRDefault="009D26A3" w:rsidP="009D26A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D26A3" w:rsidRPr="009D26A3" w:rsidRDefault="009D26A3" w:rsidP="009D26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9D26A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III квартал 2022 г.)</w:t>
      </w:r>
    </w:p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26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14,99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10,85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29,56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60 730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128 080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140 929</w:t>
            </w:r>
          </w:p>
        </w:tc>
      </w:tr>
    </w:tbl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9D26A3" w:rsidRPr="009D26A3" w:rsidTr="009D26A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9,56</w:t>
            </w:r>
          </w:p>
        </w:tc>
      </w:tr>
    </w:tbl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пересчета к сборнику «Ведомственные укрупненные </w:t>
      </w: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</w:t>
      </w:r>
      <w:proofErr w:type="spellStart"/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энергообъединений</w:t>
      </w:r>
      <w:proofErr w:type="spellEnd"/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</w:p>
    <w:p w:rsidR="009D26A3" w:rsidRPr="009D26A3" w:rsidRDefault="009D26A3" w:rsidP="009D2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9D26A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9D26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Воздушные линии, трансформаторные подстанции и распределительные пункты напряжением 0,38-20 </w:t>
      </w:r>
      <w:proofErr w:type="spellStart"/>
      <w:r w:rsidRPr="009D26A3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9D26A3">
        <w:rPr>
          <w:rFonts w:ascii="Times New Roman" w:eastAsia="Times New Roman" w:hAnsi="Times New Roman" w:cs="Times New Roman"/>
          <w:sz w:val="20"/>
          <w:szCs w:val="20"/>
          <w:lang w:eastAsia="ru-RU"/>
        </w:rPr>
        <w:t>  (ВУЕР-РС-2000) СО 153-34.20.815</w:t>
      </w:r>
      <w:r w:rsidRPr="009D26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</w:t>
      </w:r>
      <w:proofErr w:type="spellStart"/>
      <w:r w:rsidRPr="009D26A3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9D26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(ВУЕР-КЛ-2000) СО 153-34.20.816; </w:t>
      </w:r>
      <w:r w:rsidRPr="009D26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В11 - Испытание электрооборудования (ВУЕР-ИО-2000) СО 153-34.20.823</w:t>
      </w:r>
      <w:r w:rsidRPr="009D26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D26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III квартал 2022 г.)</w:t>
      </w:r>
    </w:p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33,04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эксплуатацию машин и </w:t>
            </w:r>
            <w:proofErr w:type="spellStart"/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8,46</w:t>
            </w:r>
          </w:p>
        </w:tc>
      </w:tr>
    </w:tbl>
    <w:p w:rsidR="009D26A3" w:rsidRPr="009D26A3" w:rsidRDefault="009D26A3" w:rsidP="009D26A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Примечание:</w:t>
      </w: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9D26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D26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D26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применении индексов следует дополнительно учитывать НДС.</w:t>
      </w: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D26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Индексы пересчета к ВУЕР рассчитываются ежеквартально.</w:t>
      </w:r>
    </w:p>
    <w:p w:rsidR="009D26A3" w:rsidRPr="009D26A3" w:rsidRDefault="009D26A3" w:rsidP="009D26A3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 показатели текущей стоимости на ремонтно-строительные работы для организаций </w:t>
      </w:r>
      <w:proofErr w:type="spellStart"/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жкх</w:t>
      </w:r>
      <w:proofErr w:type="spellEnd"/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видам экономической деятельности,</w:t>
      </w: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согласно отраслевому тарифному соглашению на 2022 – 2024 </w:t>
      </w:r>
      <w:proofErr w:type="spellStart"/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г.г</w:t>
      </w:r>
      <w:proofErr w:type="spellEnd"/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(подписано 07.10.2021, зарегистрировано </w:t>
      </w: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Министерством труда и занятости населения Кузбасса 07.10.2021 № 12)</w:t>
      </w:r>
    </w:p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26A3" w:rsidRPr="009D26A3" w:rsidRDefault="009D26A3" w:rsidP="009D26A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9D26A3" w:rsidRPr="009D26A3" w:rsidRDefault="009D26A3" w:rsidP="009D26A3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9D26A3" w:rsidRPr="009D26A3" w:rsidTr="009D26A3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9D2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46 329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24,65</w:t>
            </w:r>
          </w:p>
        </w:tc>
      </w:tr>
    </w:tbl>
    <w:p w:rsidR="009D26A3" w:rsidRPr="009D26A3" w:rsidRDefault="009D26A3" w:rsidP="009D26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 рабочего времени в 2022 году:</w:t>
      </w:r>
      <w:proofErr w:type="gramStart"/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40-часовой рабочей неделе – 1973 час.(t = 164,42 час./мес.), </w:t>
      </w: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1775,4 час. (t = 147,95 час/мес.), </w:t>
      </w: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9D26A3" w:rsidRPr="009D26A3" w:rsidRDefault="009D26A3" w:rsidP="009D2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соответствии с Методикой расчета индексов </w:t>
      </w: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изменения сметной стоимости строительства, утвержденной приказом Минстроя РФ от 5 июня 2019 г. № 326)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9D26A3" w:rsidRPr="009D26A3" w:rsidTr="009D26A3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296.45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48743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330.99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54421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379.51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62398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450.64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74094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299.30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49211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334.01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54918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383.88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63117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456.60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75074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301.81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49624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337.38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55473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388.65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63901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464.55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76381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304.00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49984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340.56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55995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393.02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64620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472.10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77622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306.84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50451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343.74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56518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397.39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65339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479.65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78864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309.36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50865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346.52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56975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403.43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487.60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80171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311.55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51226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349.70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57498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409.46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67324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495.15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81412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314.39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51692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352.88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58021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415.27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68279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503.02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82707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316.91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52106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357.25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58740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421.23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69259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510.57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83948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319.10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52467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361.62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59458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427.19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70239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518.11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85188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321.94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52933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366.39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60242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433.15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71219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526.14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86508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324.95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53429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370.76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60961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438.72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72134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533.69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87750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327.97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53925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375.14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61680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444.68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73114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9D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ля коммерческих организаций и индивидуальных предпринимателей)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9D26A3" w:rsidRPr="009D26A3" w:rsidTr="009D26A3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92392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93614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95243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96791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98339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99969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101517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103132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104679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106226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107872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109420</w:t>
            </w:r>
          </w:p>
        </w:tc>
      </w:tr>
      <w:tr w:rsidR="009D26A3" w:rsidRPr="009D26A3" w:rsidTr="009D26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D26A3" w:rsidRPr="009D26A3" w:rsidRDefault="009D26A3" w:rsidP="009D2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D26A3" w:rsidRPr="009D26A3" w:rsidRDefault="009D26A3" w:rsidP="009D2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52F" w:rsidRDefault="009D26A3" w:rsidP="009D26A3">
      <w:pPr>
        <w:spacing w:before="100" w:beforeAutospacing="1" w:after="0" w:line="240" w:lineRule="auto"/>
      </w:pPr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ГАУ "НЦЦЭ Кузбасса", к.э.н. </w:t>
      </w:r>
      <w:proofErr w:type="spellStart"/>
      <w:r w:rsidRPr="009D26A3">
        <w:rPr>
          <w:rFonts w:ascii="Times New Roman" w:eastAsia="Times New Roman" w:hAnsi="Times New Roman" w:cs="Times New Roman"/>
          <w:sz w:val="24"/>
          <w:szCs w:val="24"/>
          <w:lang w:eastAsia="ru-RU"/>
        </w:rPr>
        <w:t>Л.К.Нефёдова</w:t>
      </w:r>
      <w:bookmarkStart w:id="0" w:name="_GoBack"/>
      <w:bookmarkEnd w:id="0"/>
      <w:proofErr w:type="spellEnd"/>
    </w:p>
    <w:sectPr w:rsidR="0028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A3"/>
    <w:rsid w:val="0028552F"/>
    <w:rsid w:val="009D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D26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D26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D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6A3"/>
    <w:rPr>
      <w:b/>
      <w:bCs/>
    </w:rPr>
  </w:style>
  <w:style w:type="character" w:styleId="a5">
    <w:name w:val="Hyperlink"/>
    <w:basedOn w:val="a0"/>
    <w:uiPriority w:val="99"/>
    <w:semiHidden/>
    <w:unhideWhenUsed/>
    <w:rsid w:val="009D26A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D26A3"/>
    <w:rPr>
      <w:color w:val="800080"/>
      <w:u w:val="single"/>
    </w:rPr>
  </w:style>
  <w:style w:type="character" w:styleId="a7">
    <w:name w:val="Emphasis"/>
    <w:basedOn w:val="a0"/>
    <w:uiPriority w:val="20"/>
    <w:qFormat/>
    <w:rsid w:val="009D26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D26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D26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D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6A3"/>
    <w:rPr>
      <w:b/>
      <w:bCs/>
    </w:rPr>
  </w:style>
  <w:style w:type="character" w:styleId="a5">
    <w:name w:val="Hyperlink"/>
    <w:basedOn w:val="a0"/>
    <w:uiPriority w:val="99"/>
    <w:semiHidden/>
    <w:unhideWhenUsed/>
    <w:rsid w:val="009D26A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D26A3"/>
    <w:rPr>
      <w:color w:val="800080"/>
      <w:u w:val="single"/>
    </w:rPr>
  </w:style>
  <w:style w:type="character" w:styleId="a7">
    <w:name w:val="Emphasis"/>
    <w:basedOn w:val="a0"/>
    <w:uiPriority w:val="20"/>
    <w:qFormat/>
    <w:rsid w:val="009D26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9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2022-12-02T01:47:00Z</dcterms:created>
  <dcterms:modified xsi:type="dcterms:W3CDTF">2022-12-02T01:47:00Z</dcterms:modified>
</cp:coreProperties>
</file>