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6E8" w:rsidRDefault="00CE56E8">
      <w:pPr>
        <w:pStyle w:val="ConsPlusTitlePage"/>
      </w:pPr>
      <w:r>
        <w:t xml:space="preserve">Документ предоставлен </w:t>
      </w:r>
      <w:hyperlink r:id="rId5" w:history="1">
        <w:r>
          <w:rPr>
            <w:color w:val="0000FF"/>
          </w:rPr>
          <w:t>КонсультантПлюс</w:t>
        </w:r>
      </w:hyperlink>
      <w:r>
        <w:br/>
      </w:r>
    </w:p>
    <w:p w:rsidR="00CE56E8" w:rsidRDefault="00CE56E8">
      <w:pPr>
        <w:pStyle w:val="ConsPlusNormal"/>
        <w:jc w:val="both"/>
        <w:outlineLvl w:val="0"/>
      </w:pPr>
    </w:p>
    <w:p w:rsidR="00CE56E8" w:rsidRDefault="00CE56E8">
      <w:pPr>
        <w:pStyle w:val="ConsPlusNormal"/>
        <w:ind w:firstLine="540"/>
        <w:jc w:val="both"/>
      </w:pPr>
      <w:r>
        <w:rPr>
          <w:b/>
        </w:rPr>
        <w:t>Вопрос:</w:t>
      </w:r>
      <w:r>
        <w:t xml:space="preserve"> Об изменении объема, вида работ, предусмотренных контрактом, и составе документации при исполнении муниципального контракта на строительство многоквартирных домов.</w:t>
      </w:r>
    </w:p>
    <w:p w:rsidR="00CE56E8" w:rsidRDefault="00CE56E8">
      <w:pPr>
        <w:pStyle w:val="ConsPlusNormal"/>
        <w:jc w:val="both"/>
      </w:pPr>
    </w:p>
    <w:p w:rsidR="00CE56E8" w:rsidRDefault="00CE56E8">
      <w:pPr>
        <w:pStyle w:val="ConsPlusNormal"/>
        <w:ind w:firstLine="540"/>
        <w:jc w:val="both"/>
      </w:pPr>
      <w:r>
        <w:rPr>
          <w:b/>
        </w:rPr>
        <w:t>Ответ:</w:t>
      </w:r>
    </w:p>
    <w:p w:rsidR="00CE56E8" w:rsidRDefault="00CE56E8">
      <w:pPr>
        <w:pStyle w:val="ConsPlusTitle"/>
        <w:spacing w:before="220"/>
        <w:jc w:val="center"/>
      </w:pPr>
      <w:r>
        <w:t>МИНИСТЕРСТВО ЭКОНОМИЧЕСКОГО РАЗВИТИЯ РОССИЙСКОЙ ФЕДЕРАЦИИ</w:t>
      </w:r>
    </w:p>
    <w:p w:rsidR="00CE56E8" w:rsidRDefault="00CE56E8">
      <w:pPr>
        <w:pStyle w:val="ConsPlusTitle"/>
        <w:jc w:val="center"/>
      </w:pPr>
    </w:p>
    <w:p w:rsidR="00CE56E8" w:rsidRDefault="00CE56E8">
      <w:pPr>
        <w:pStyle w:val="ConsPlusTitle"/>
        <w:jc w:val="center"/>
      </w:pPr>
      <w:r>
        <w:t>ПИСЬМО</w:t>
      </w:r>
    </w:p>
    <w:p w:rsidR="00CE56E8" w:rsidRDefault="00CE56E8">
      <w:pPr>
        <w:pStyle w:val="ConsPlusTitle"/>
        <w:jc w:val="center"/>
      </w:pPr>
      <w:r>
        <w:t>от 7 декабря 2016 г. N Д28и-3208</w:t>
      </w:r>
    </w:p>
    <w:p w:rsidR="00CE56E8" w:rsidRDefault="00CE56E8">
      <w:pPr>
        <w:pStyle w:val="ConsPlusNormal"/>
        <w:jc w:val="both"/>
      </w:pPr>
    </w:p>
    <w:p w:rsidR="00CE56E8" w:rsidRDefault="00CE56E8">
      <w:pPr>
        <w:pStyle w:val="ConsPlusNormal"/>
        <w:ind w:firstLine="540"/>
        <w:jc w:val="both"/>
      </w:pPr>
      <w:r>
        <w:t>Департамент развития контрактной системы Минэкономразвития России рассмотрел обращение по вопросу об исполнении муниципального контракта на строительство многоквартирных домов и оплате выполненных в соответствии с ним работ и в рамках своей компетенции сообщает.</w:t>
      </w:r>
    </w:p>
    <w:p w:rsidR="00CE56E8" w:rsidRDefault="00CE56E8">
      <w:pPr>
        <w:pStyle w:val="ConsPlusNormal"/>
        <w:spacing w:before="220"/>
        <w:ind w:firstLine="540"/>
        <w:jc w:val="both"/>
      </w:pPr>
      <w:r>
        <w:t xml:space="preserve">Закупка товаров, работ, услуг для обеспечения государственных и муниципальных нужд осуществляется в соответствии с положениями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w:t>
      </w:r>
    </w:p>
    <w:p w:rsidR="00CE56E8" w:rsidRDefault="00CE56E8">
      <w:pPr>
        <w:pStyle w:val="ConsPlusNormal"/>
        <w:spacing w:before="220"/>
        <w:ind w:firstLine="540"/>
        <w:jc w:val="both"/>
      </w:pPr>
      <w:r>
        <w:t xml:space="preserve">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в том числе на положениях Гражданского </w:t>
      </w:r>
      <w:hyperlink r:id="rId7" w:history="1">
        <w:r>
          <w:rPr>
            <w:color w:val="0000FF"/>
          </w:rPr>
          <w:t>кодекса</w:t>
        </w:r>
      </w:hyperlink>
      <w:r>
        <w:t xml:space="preserve"> Российской Федерации (далее - ГК РФ), Бюджетного </w:t>
      </w:r>
      <w:hyperlink r:id="rId8" w:history="1">
        <w:r>
          <w:rPr>
            <w:color w:val="0000FF"/>
          </w:rPr>
          <w:t>кодекса</w:t>
        </w:r>
      </w:hyperlink>
      <w:r>
        <w:t xml:space="preserve"> Российской Федерации (далее - БК РФ) и состоит из Закона N 44-ФЗ и других федеральных законов, регулирующих отношения, указанные в </w:t>
      </w:r>
      <w:hyperlink r:id="rId9" w:history="1">
        <w:r>
          <w:rPr>
            <w:color w:val="0000FF"/>
          </w:rPr>
          <w:t>части 1 статьи 1</w:t>
        </w:r>
      </w:hyperlink>
      <w:r>
        <w:t xml:space="preserve"> Закона N 44-ФЗ. Нормы права, содержащиеся в других федеральных законах и регулирующие указанные отношения, должны соответствовать Закону N 44-ФЗ (</w:t>
      </w:r>
      <w:hyperlink r:id="rId10" w:history="1">
        <w:r>
          <w:rPr>
            <w:color w:val="0000FF"/>
          </w:rPr>
          <w:t>статья 2</w:t>
        </w:r>
      </w:hyperlink>
      <w:r>
        <w:t xml:space="preserve"> Закона N 44-ФЗ).</w:t>
      </w:r>
    </w:p>
    <w:p w:rsidR="00CE56E8" w:rsidRDefault="00CE56E8">
      <w:pPr>
        <w:pStyle w:val="ConsPlusNormal"/>
        <w:spacing w:before="220"/>
        <w:ind w:firstLine="540"/>
        <w:jc w:val="both"/>
      </w:pPr>
      <w:r>
        <w:t xml:space="preserve">В соответствии с </w:t>
      </w:r>
      <w:hyperlink r:id="rId11" w:history="1">
        <w:r>
          <w:rPr>
            <w:color w:val="0000FF"/>
          </w:rPr>
          <w:t>частью 3 статьи 219</w:t>
        </w:r>
      </w:hyperlink>
      <w:r>
        <w:t xml:space="preserve"> БК РФ получатель бюджетных средств принимает бюджетные обязательства в пределах доведенных до него лимитов бюджетных обязательств.</w:t>
      </w:r>
    </w:p>
    <w:p w:rsidR="00CE56E8" w:rsidRDefault="00CE56E8">
      <w:pPr>
        <w:pStyle w:val="ConsPlusNormal"/>
        <w:spacing w:before="220"/>
        <w:ind w:firstLine="540"/>
        <w:jc w:val="both"/>
      </w:pPr>
      <w:r>
        <w:t xml:space="preserve">В соответствии с </w:t>
      </w:r>
      <w:hyperlink r:id="rId12" w:history="1">
        <w:r>
          <w:rPr>
            <w:color w:val="0000FF"/>
          </w:rPr>
          <w:t>частью 1 статьи 34</w:t>
        </w:r>
      </w:hyperlink>
      <w:r>
        <w:t xml:space="preserve"> Закона N 44-ФЗ контракт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контракт.</w:t>
      </w:r>
    </w:p>
    <w:p w:rsidR="00CE56E8" w:rsidRDefault="00CE56E8">
      <w:pPr>
        <w:pStyle w:val="ConsPlusNormal"/>
        <w:spacing w:before="220"/>
        <w:ind w:firstLine="540"/>
        <w:jc w:val="both"/>
      </w:pPr>
      <w:r>
        <w:t xml:space="preserve">При заключении и исполнении контракта изменение его условий не допускается, за исключением случаев, предусмотренных </w:t>
      </w:r>
      <w:hyperlink r:id="rId13" w:history="1">
        <w:r>
          <w:rPr>
            <w:color w:val="0000FF"/>
          </w:rPr>
          <w:t>статьей 34</w:t>
        </w:r>
      </w:hyperlink>
      <w:r>
        <w:t xml:space="preserve"> Закона N 44-ФЗ и </w:t>
      </w:r>
      <w:hyperlink r:id="rId14" w:history="1">
        <w:r>
          <w:rPr>
            <w:color w:val="0000FF"/>
          </w:rPr>
          <w:t>статьей 95</w:t>
        </w:r>
      </w:hyperlink>
      <w:r>
        <w:t xml:space="preserve"> Закона N 44-ФЗ (</w:t>
      </w:r>
      <w:hyperlink r:id="rId15" w:history="1">
        <w:r>
          <w:rPr>
            <w:color w:val="0000FF"/>
          </w:rPr>
          <w:t>часть 2 статьи 34</w:t>
        </w:r>
      </w:hyperlink>
      <w:r>
        <w:t xml:space="preserve"> Закона N 44-ФЗ).</w:t>
      </w:r>
    </w:p>
    <w:p w:rsidR="00CE56E8" w:rsidRDefault="00CE56E8">
      <w:pPr>
        <w:pStyle w:val="ConsPlusNormal"/>
        <w:spacing w:before="220"/>
        <w:ind w:firstLine="540"/>
        <w:jc w:val="both"/>
      </w:pPr>
      <w:hyperlink r:id="rId16" w:history="1">
        <w:r>
          <w:rPr>
            <w:color w:val="0000FF"/>
          </w:rPr>
          <w:t>Статьей 95</w:t>
        </w:r>
      </w:hyperlink>
      <w:r>
        <w:t xml:space="preserve"> Закона N 44-ФЗ установлено, что изменение существенных условий контракта при его исполнении не допускается, за исключением их изменения по соглашению сторон в случаях, установленных положениями </w:t>
      </w:r>
      <w:hyperlink r:id="rId17" w:history="1">
        <w:r>
          <w:rPr>
            <w:color w:val="0000FF"/>
          </w:rPr>
          <w:t>статьи 95</w:t>
        </w:r>
      </w:hyperlink>
      <w:r>
        <w:t xml:space="preserve"> Закона N 44-ФЗ.</w:t>
      </w:r>
    </w:p>
    <w:p w:rsidR="00CE56E8" w:rsidRDefault="00CE56E8">
      <w:pPr>
        <w:pStyle w:val="ConsPlusNormal"/>
        <w:spacing w:before="220"/>
        <w:ind w:firstLine="540"/>
        <w:jc w:val="both"/>
      </w:pPr>
      <w:r>
        <w:t>Так, в случае если возможность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 допускается изменение по соглашению сторон существенных условий контракта при его исполнении, в случае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CE56E8" w:rsidRDefault="00CE56E8">
      <w:pPr>
        <w:pStyle w:val="ConsPlusNormal"/>
        <w:spacing w:before="220"/>
        <w:ind w:firstLine="540"/>
        <w:jc w:val="both"/>
      </w:pPr>
      <w:r>
        <w:t xml:space="preserve">При этом по соглашению сторон допускается изменение с учетом положений бюджетного </w:t>
      </w:r>
      <w:r>
        <w:lastRenderedPageBreak/>
        <w:t>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w:t>
      </w:r>
      <w:hyperlink r:id="rId18" w:history="1">
        <w:r>
          <w:rPr>
            <w:color w:val="0000FF"/>
          </w:rPr>
          <w:t>подпункт "б" пункта 1 части 1 статьи 95</w:t>
        </w:r>
      </w:hyperlink>
      <w:r>
        <w:t xml:space="preserve"> Закона N 44-ФЗ).</w:t>
      </w:r>
    </w:p>
    <w:p w:rsidR="00CE56E8" w:rsidRDefault="00CE56E8">
      <w:pPr>
        <w:pStyle w:val="ConsPlusNormal"/>
        <w:spacing w:before="220"/>
        <w:ind w:firstLine="540"/>
        <w:jc w:val="both"/>
      </w:pPr>
      <w:r>
        <w:t>Учитывая изложенное, в случае необходимости увеличения или уменьшения заказчиком предусмотренного контрактом объема работ (если такая возможность была установлена документацией о закупке) при исполнении контракта можно увеличить или уменьшить объем работ по определенным позициям локального сметного расчета не более чем на десять процентов исходя из установленной в контракте цены единицы объема работы. При этом общая стоимость сметного расчета должна быть изменена пропорционально дополнительному объему работы, но не более чем на десять процентов.</w:t>
      </w:r>
    </w:p>
    <w:p w:rsidR="00CE56E8" w:rsidRDefault="00CE56E8">
      <w:pPr>
        <w:pStyle w:val="ConsPlusNormal"/>
        <w:spacing w:before="220"/>
        <w:ind w:firstLine="540"/>
        <w:jc w:val="both"/>
      </w:pPr>
      <w:r>
        <w:t xml:space="preserve">В случае возникновения необходимости в видах работ, не предусмотренных контрактом, такую закупку следует осуществить конкурентными способами определения поставщика (подрядчика, исполнителя), установленными </w:t>
      </w:r>
      <w:hyperlink r:id="rId19" w:history="1">
        <w:r>
          <w:rPr>
            <w:color w:val="0000FF"/>
          </w:rPr>
          <w:t>Законом</w:t>
        </w:r>
      </w:hyperlink>
      <w:r>
        <w:t xml:space="preserve"> N 44-ФЗ, или у единственного поставщика (подрядчика, исполнителя) в случаях, определенных </w:t>
      </w:r>
      <w:hyperlink r:id="rId20" w:history="1">
        <w:r>
          <w:rPr>
            <w:color w:val="0000FF"/>
          </w:rPr>
          <w:t>частью 1 статьи 93</w:t>
        </w:r>
      </w:hyperlink>
      <w:r>
        <w:t xml:space="preserve"> Закона N 44-ФЗ.</w:t>
      </w:r>
    </w:p>
    <w:p w:rsidR="00CE56E8" w:rsidRDefault="00CE56E8">
      <w:pPr>
        <w:pStyle w:val="ConsPlusNormal"/>
        <w:spacing w:before="220"/>
        <w:ind w:firstLine="540"/>
        <w:jc w:val="both"/>
      </w:pPr>
      <w:r>
        <w:t xml:space="preserve">Документация о закупке для государственных и муниципальных нужд разрабатывается заказчиком самостоятельно в соответствии с требованиями к содержанию документации о закупке, установленными положениями </w:t>
      </w:r>
      <w:hyperlink r:id="rId21" w:history="1">
        <w:r>
          <w:rPr>
            <w:color w:val="0000FF"/>
          </w:rPr>
          <w:t>Закона</w:t>
        </w:r>
      </w:hyperlink>
      <w:r>
        <w:t xml:space="preserve"> N 44-ФЗ и действующим законодательством Российской Федерации.</w:t>
      </w:r>
    </w:p>
    <w:p w:rsidR="00CE56E8" w:rsidRDefault="00CE56E8">
      <w:pPr>
        <w:pStyle w:val="ConsPlusNormal"/>
        <w:spacing w:before="220"/>
        <w:ind w:firstLine="540"/>
        <w:jc w:val="both"/>
      </w:pPr>
      <w:r>
        <w:t xml:space="preserve">Таким образом, разрабатывая документацию о закупке, заказчик должен руководствоваться положениями </w:t>
      </w:r>
      <w:hyperlink r:id="rId22" w:history="1">
        <w:r>
          <w:rPr>
            <w:color w:val="0000FF"/>
          </w:rPr>
          <w:t>Закона</w:t>
        </w:r>
      </w:hyperlink>
      <w:r>
        <w:t xml:space="preserve"> N 44-ФЗ с учетом специфики конкретной закупки, установленной в рамках отраслевого законодательства.</w:t>
      </w:r>
    </w:p>
    <w:p w:rsidR="00CE56E8" w:rsidRDefault="00CE56E8">
      <w:pPr>
        <w:pStyle w:val="ConsPlusNormal"/>
        <w:spacing w:before="220"/>
        <w:ind w:firstLine="540"/>
        <w:jc w:val="both"/>
      </w:pPr>
      <w:r>
        <w:t xml:space="preserve">Согласно </w:t>
      </w:r>
      <w:hyperlink r:id="rId23" w:history="1">
        <w:r>
          <w:rPr>
            <w:color w:val="0000FF"/>
          </w:rPr>
          <w:t>части 2 статьи 33</w:t>
        </w:r>
      </w:hyperlink>
      <w:r>
        <w:t xml:space="preserve"> Закона N 44-ФЗ документация о закупке должна содержать показатели, позволяющие определить соответствие закупаемых товара, работы, услуги установленным заказчиком требованиям.</w:t>
      </w:r>
    </w:p>
    <w:p w:rsidR="00CE56E8" w:rsidRDefault="00CE56E8">
      <w:pPr>
        <w:pStyle w:val="ConsPlusNormal"/>
        <w:spacing w:before="220"/>
        <w:ind w:firstLine="540"/>
        <w:jc w:val="both"/>
      </w:pPr>
      <w:r>
        <w:t xml:space="preserve">В соответствии с </w:t>
      </w:r>
      <w:hyperlink r:id="rId24" w:history="1">
        <w:r>
          <w:rPr>
            <w:color w:val="0000FF"/>
          </w:rPr>
          <w:t>частью 1 статьи 743</w:t>
        </w:r>
      </w:hyperlink>
      <w:r>
        <w:t xml:space="preserve"> ГК РФ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 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CE56E8" w:rsidRDefault="00CE56E8">
      <w:pPr>
        <w:pStyle w:val="ConsPlusNormal"/>
        <w:spacing w:before="220"/>
        <w:ind w:firstLine="540"/>
        <w:jc w:val="both"/>
      </w:pPr>
      <w:r>
        <w:t xml:space="preserve">Строительство, реконструкция, капитальный ремонт объекта капитального строительства регулируются Градостроительным </w:t>
      </w:r>
      <w:hyperlink r:id="rId25" w:history="1">
        <w:r>
          <w:rPr>
            <w:color w:val="0000FF"/>
          </w:rPr>
          <w:t>кодексом</w:t>
        </w:r>
      </w:hyperlink>
      <w:r>
        <w:t xml:space="preserve"> Российской Федерации (далее - ГрК РФ).</w:t>
      </w:r>
    </w:p>
    <w:p w:rsidR="00CE56E8" w:rsidRDefault="00CE56E8">
      <w:pPr>
        <w:pStyle w:val="ConsPlusNormal"/>
        <w:spacing w:before="220"/>
        <w:ind w:firstLine="540"/>
        <w:jc w:val="both"/>
      </w:pPr>
      <w:r>
        <w:t xml:space="preserve">Согласно </w:t>
      </w:r>
      <w:hyperlink r:id="rId26" w:history="1">
        <w:r>
          <w:rPr>
            <w:color w:val="0000FF"/>
          </w:rPr>
          <w:t>части 6 статьи 52</w:t>
        </w:r>
      </w:hyperlink>
      <w:r>
        <w:t xml:space="preserve"> ГрК РФ лицо, осуществляющее строительство, обязано осуществлять строительство, реконструкцию, капитальный ремонт объекта капитального строительства, в том числе в соответствии с проектной документацией.</w:t>
      </w:r>
    </w:p>
    <w:p w:rsidR="00CE56E8" w:rsidRDefault="00CE56E8">
      <w:pPr>
        <w:pStyle w:val="ConsPlusNormal"/>
        <w:spacing w:before="220"/>
        <w:ind w:firstLine="540"/>
        <w:jc w:val="both"/>
      </w:pPr>
      <w:r>
        <w:t xml:space="preserve">При этом согласно </w:t>
      </w:r>
      <w:hyperlink r:id="rId27" w:history="1">
        <w:r>
          <w:rPr>
            <w:color w:val="0000FF"/>
          </w:rPr>
          <w:t>части 2 статьи 48</w:t>
        </w:r>
      </w:hyperlink>
      <w:r>
        <w:t xml:space="preserve"> ГрК РФ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CE56E8" w:rsidRDefault="00CE56E8">
      <w:pPr>
        <w:pStyle w:val="ConsPlusNormal"/>
        <w:spacing w:before="220"/>
        <w:ind w:firstLine="540"/>
        <w:jc w:val="both"/>
      </w:pPr>
      <w:r>
        <w:t>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w:t>
      </w:r>
      <w:hyperlink r:id="rId28" w:history="1">
        <w:r>
          <w:rPr>
            <w:color w:val="0000FF"/>
          </w:rPr>
          <w:t>статья 48</w:t>
        </w:r>
      </w:hyperlink>
      <w:r>
        <w:t xml:space="preserve"> ГрК РФ).</w:t>
      </w:r>
    </w:p>
    <w:p w:rsidR="00CE56E8" w:rsidRDefault="00CE56E8">
      <w:pPr>
        <w:pStyle w:val="ConsPlusNormal"/>
        <w:spacing w:before="220"/>
        <w:ind w:firstLine="540"/>
        <w:jc w:val="both"/>
      </w:pPr>
      <w:r>
        <w:lastRenderedPageBreak/>
        <w:t>Проектная документация утверждается застройщиком или техническим заказчиком. Если проектная документация подлежит экспертизе, она утверждается только при наличии ее положительного заключения (</w:t>
      </w:r>
      <w:hyperlink r:id="rId29" w:history="1">
        <w:r>
          <w:rPr>
            <w:color w:val="0000FF"/>
          </w:rPr>
          <w:t>пункт 15 статьи 48</w:t>
        </w:r>
      </w:hyperlink>
      <w:r>
        <w:t xml:space="preserve"> ГрК РФ).</w:t>
      </w:r>
    </w:p>
    <w:p w:rsidR="00CE56E8" w:rsidRDefault="00CE56E8">
      <w:pPr>
        <w:pStyle w:val="ConsPlusNormal"/>
        <w:spacing w:before="220"/>
        <w:ind w:firstLine="540"/>
        <w:jc w:val="both"/>
      </w:pPr>
      <w:r>
        <w:t>Таким образом, строительство, реконструкция, капитальный ремонт объекта капитального строительства осуществляются на основании проектной документации, которая содержит показатели, связанные с определением соответствия выполняемых работ потребностям заказчика.</w:t>
      </w:r>
    </w:p>
    <w:p w:rsidR="00CE56E8" w:rsidRDefault="00CE56E8">
      <w:pPr>
        <w:pStyle w:val="ConsPlusNormal"/>
        <w:spacing w:before="220"/>
        <w:ind w:firstLine="540"/>
        <w:jc w:val="both"/>
      </w:pPr>
      <w:r>
        <w:t>Отсутствие в документации о закупке функциональных, технических и качественных характеристик, эксплуатационных характеристик объекта закупки, требований к результатам работ, в том числе отсутствие в составе документации о закупке полного объема проектной документации, может привести к невозможности формирования участником закупки предложения по исполнению государственного (муниципального) контракта.</w:t>
      </w:r>
    </w:p>
    <w:p w:rsidR="00CE56E8" w:rsidRDefault="00CE56E8">
      <w:pPr>
        <w:pStyle w:val="ConsPlusNormal"/>
        <w:spacing w:before="220"/>
        <w:ind w:firstLine="540"/>
        <w:jc w:val="both"/>
      </w:pPr>
      <w:r>
        <w:t>Учитывая изложенное, требования к строительным работам определяются в проектной документации, которую подрядчик обязан соблюдать, соответственно, такая документация должна быть включена в документацию о закупке.</w:t>
      </w:r>
    </w:p>
    <w:p w:rsidR="00CE56E8" w:rsidRDefault="00CE56E8">
      <w:pPr>
        <w:pStyle w:val="ConsPlusNormal"/>
        <w:spacing w:before="220"/>
        <w:ind w:firstLine="540"/>
        <w:jc w:val="both"/>
      </w:pPr>
      <w:r>
        <w:t>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w:t>
      </w:r>
    </w:p>
    <w:p w:rsidR="00CE56E8" w:rsidRDefault="00CE56E8">
      <w:pPr>
        <w:pStyle w:val="ConsPlusNormal"/>
        <w:spacing w:before="220"/>
        <w:ind w:firstLine="540"/>
        <w:jc w:val="both"/>
      </w:pPr>
      <w:r>
        <w:t xml:space="preserve">В соответствии с </w:t>
      </w:r>
      <w:hyperlink r:id="rId30" w:history="1">
        <w:r>
          <w:rPr>
            <w:color w:val="0000FF"/>
          </w:rPr>
          <w:t>Положением</w:t>
        </w:r>
      </w:hyperlink>
      <w: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CE56E8" w:rsidRDefault="00CE56E8">
      <w:pPr>
        <w:pStyle w:val="ConsPlusNormal"/>
        <w:jc w:val="both"/>
      </w:pPr>
    </w:p>
    <w:p w:rsidR="00CE56E8" w:rsidRDefault="00CE56E8">
      <w:pPr>
        <w:pStyle w:val="ConsPlusNormal"/>
        <w:jc w:val="right"/>
      </w:pPr>
      <w:r>
        <w:t>Директор Департамента</w:t>
      </w:r>
    </w:p>
    <w:p w:rsidR="00CE56E8" w:rsidRDefault="00CE56E8">
      <w:pPr>
        <w:pStyle w:val="ConsPlusNormal"/>
        <w:jc w:val="right"/>
      </w:pPr>
      <w:r>
        <w:t>развития контрактной системы</w:t>
      </w:r>
    </w:p>
    <w:p w:rsidR="00CE56E8" w:rsidRDefault="00CE56E8">
      <w:pPr>
        <w:pStyle w:val="ConsPlusNormal"/>
        <w:jc w:val="right"/>
      </w:pPr>
      <w:r>
        <w:t>М.В.ЧЕМЕРИСОВ</w:t>
      </w:r>
    </w:p>
    <w:p w:rsidR="00CE56E8" w:rsidRDefault="00CE56E8">
      <w:pPr>
        <w:pStyle w:val="ConsPlusNormal"/>
      </w:pPr>
      <w:r>
        <w:t>07.12.2016</w:t>
      </w:r>
    </w:p>
    <w:p w:rsidR="00CE56E8" w:rsidRDefault="00CE56E8">
      <w:pPr>
        <w:pStyle w:val="ConsPlusNormal"/>
      </w:pPr>
    </w:p>
    <w:p w:rsidR="00CE56E8" w:rsidRDefault="00CE56E8">
      <w:pPr>
        <w:pStyle w:val="ConsPlusNormal"/>
      </w:pPr>
    </w:p>
    <w:p w:rsidR="00CE56E8" w:rsidRDefault="00CE56E8">
      <w:pPr>
        <w:pStyle w:val="ConsPlusNormal"/>
        <w:pBdr>
          <w:top w:val="single" w:sz="6" w:space="0" w:color="auto"/>
        </w:pBdr>
        <w:spacing w:before="100" w:after="100"/>
        <w:jc w:val="both"/>
        <w:rPr>
          <w:sz w:val="2"/>
          <w:szCs w:val="2"/>
        </w:rPr>
      </w:pPr>
    </w:p>
    <w:p w:rsidR="0092251A" w:rsidRDefault="0092251A">
      <w:bookmarkStart w:id="0" w:name="_GoBack"/>
      <w:bookmarkEnd w:id="0"/>
    </w:p>
    <w:sectPr w:rsidR="0092251A" w:rsidSect="00FF3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6E8"/>
    <w:rsid w:val="0092251A"/>
    <w:rsid w:val="009C52AB"/>
    <w:rsid w:val="00CE5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2AB"/>
  </w:style>
  <w:style w:type="paragraph" w:styleId="1">
    <w:name w:val="heading 1"/>
    <w:basedOn w:val="a"/>
    <w:link w:val="10"/>
    <w:uiPriority w:val="9"/>
    <w:qFormat/>
    <w:rsid w:val="009C52AB"/>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C52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C52A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52AB"/>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C52AB"/>
    <w:rPr>
      <w:b/>
      <w:bCs/>
    </w:rPr>
  </w:style>
  <w:style w:type="character" w:styleId="a4">
    <w:name w:val="Emphasis"/>
    <w:basedOn w:val="a0"/>
    <w:uiPriority w:val="20"/>
    <w:qFormat/>
    <w:rsid w:val="009C52AB"/>
    <w:rPr>
      <w:i/>
      <w:iCs/>
    </w:rPr>
  </w:style>
  <w:style w:type="character" w:customStyle="1" w:styleId="20">
    <w:name w:val="Заголовок 2 Знак"/>
    <w:basedOn w:val="a0"/>
    <w:link w:val="2"/>
    <w:uiPriority w:val="9"/>
    <w:rsid w:val="009C52A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C52AB"/>
    <w:rPr>
      <w:rFonts w:asciiTheme="majorHAnsi" w:eastAsiaTheme="majorEastAsia" w:hAnsiTheme="majorHAnsi" w:cstheme="majorBidi"/>
      <w:b/>
      <w:bCs/>
      <w:color w:val="4F81BD" w:themeColor="accent1"/>
    </w:rPr>
  </w:style>
  <w:style w:type="paragraph" w:styleId="a5">
    <w:name w:val="No Spacing"/>
    <w:uiPriority w:val="1"/>
    <w:qFormat/>
    <w:rsid w:val="009C52AB"/>
  </w:style>
  <w:style w:type="paragraph" w:customStyle="1" w:styleId="ConsPlusNormal">
    <w:name w:val="ConsPlusNormal"/>
    <w:rsid w:val="00CE56E8"/>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CE56E8"/>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CE56E8"/>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2AB"/>
  </w:style>
  <w:style w:type="paragraph" w:styleId="1">
    <w:name w:val="heading 1"/>
    <w:basedOn w:val="a"/>
    <w:link w:val="10"/>
    <w:uiPriority w:val="9"/>
    <w:qFormat/>
    <w:rsid w:val="009C52AB"/>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C52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C52A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52AB"/>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C52AB"/>
    <w:rPr>
      <w:b/>
      <w:bCs/>
    </w:rPr>
  </w:style>
  <w:style w:type="character" w:styleId="a4">
    <w:name w:val="Emphasis"/>
    <w:basedOn w:val="a0"/>
    <w:uiPriority w:val="20"/>
    <w:qFormat/>
    <w:rsid w:val="009C52AB"/>
    <w:rPr>
      <w:i/>
      <w:iCs/>
    </w:rPr>
  </w:style>
  <w:style w:type="character" w:customStyle="1" w:styleId="20">
    <w:name w:val="Заголовок 2 Знак"/>
    <w:basedOn w:val="a0"/>
    <w:link w:val="2"/>
    <w:uiPriority w:val="9"/>
    <w:rsid w:val="009C52A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C52AB"/>
    <w:rPr>
      <w:rFonts w:asciiTheme="majorHAnsi" w:eastAsiaTheme="majorEastAsia" w:hAnsiTheme="majorHAnsi" w:cstheme="majorBidi"/>
      <w:b/>
      <w:bCs/>
      <w:color w:val="4F81BD" w:themeColor="accent1"/>
    </w:rPr>
  </w:style>
  <w:style w:type="paragraph" w:styleId="a5">
    <w:name w:val="No Spacing"/>
    <w:uiPriority w:val="1"/>
    <w:qFormat/>
    <w:rsid w:val="009C52AB"/>
  </w:style>
  <w:style w:type="paragraph" w:customStyle="1" w:styleId="ConsPlusNormal">
    <w:name w:val="ConsPlusNormal"/>
    <w:rsid w:val="00CE56E8"/>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CE56E8"/>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CE56E8"/>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7212908A45688ADE49608352B17A7EC0A6EA0BA3058FD253C8EBBACE81046000A132368339127CJDO9M" TargetMode="External"/><Relationship Id="rId13" Type="http://schemas.openxmlformats.org/officeDocument/2006/relationships/hyperlink" Target="consultantplus://offline/ref=567212908A45688ADE49608352B17A7EC0A6ED00A7068FD253C8EBBACE81046000A13236833A127EJDO1M" TargetMode="External"/><Relationship Id="rId18" Type="http://schemas.openxmlformats.org/officeDocument/2006/relationships/hyperlink" Target="consultantplus://offline/ref=567212908A45688ADE49608352B17A7EC0A6ED00A7068FD253C8EBBACE81046000A13236833B157FJDO2M" TargetMode="External"/><Relationship Id="rId26" Type="http://schemas.openxmlformats.org/officeDocument/2006/relationships/hyperlink" Target="consultantplus://offline/ref=567212908A45688ADE49608352B17A7EC0A6ED0BAE068FD253C8EBBACE81046000A1323385J3O2M" TargetMode="External"/><Relationship Id="rId3" Type="http://schemas.openxmlformats.org/officeDocument/2006/relationships/settings" Target="settings.xml"/><Relationship Id="rId21" Type="http://schemas.openxmlformats.org/officeDocument/2006/relationships/hyperlink" Target="consultantplus://offline/ref=567212908A45688ADE49608352B17A7EC0A6ED00A7068FD253C8EBBACEJ8O1M" TargetMode="External"/><Relationship Id="rId7" Type="http://schemas.openxmlformats.org/officeDocument/2006/relationships/hyperlink" Target="consultantplus://offline/ref=567212908A45688ADE49608352B17A7EC0A6ED07A0068FD253C8EBBACEJ8O1M" TargetMode="External"/><Relationship Id="rId12" Type="http://schemas.openxmlformats.org/officeDocument/2006/relationships/hyperlink" Target="consultantplus://offline/ref=567212908A45688ADE49608352B17A7EC0A6ED00A7068FD253C8EBBACE81046000A13236833A127EJDO0M" TargetMode="External"/><Relationship Id="rId17" Type="http://schemas.openxmlformats.org/officeDocument/2006/relationships/hyperlink" Target="consultantplus://offline/ref=567212908A45688ADE49608352B17A7EC0A6ED00A7068FD253C8EBBACE81046000A13236833B157FJDO1M" TargetMode="External"/><Relationship Id="rId25" Type="http://schemas.openxmlformats.org/officeDocument/2006/relationships/hyperlink" Target="consultantplus://offline/ref=567212908A45688ADE49608352B17A7EC0A6ED0BAE068FD253C8EBBACEJ8O1M" TargetMode="External"/><Relationship Id="rId2" Type="http://schemas.microsoft.com/office/2007/relationships/stylesWithEffects" Target="stylesWithEffects.xml"/><Relationship Id="rId16" Type="http://schemas.openxmlformats.org/officeDocument/2006/relationships/hyperlink" Target="consultantplus://offline/ref=567212908A45688ADE49608352B17A7EC0A6ED00A7068FD253C8EBBACE81046000A13236833B157FJDO1M" TargetMode="External"/><Relationship Id="rId20" Type="http://schemas.openxmlformats.org/officeDocument/2006/relationships/hyperlink" Target="consultantplus://offline/ref=567212908A45688ADE49608352B17A7EC0A6ED00A7068FD253C8EBBACE81046000A13236833B147BJDO6M" TargetMode="External"/><Relationship Id="rId29" Type="http://schemas.openxmlformats.org/officeDocument/2006/relationships/hyperlink" Target="consultantplus://offline/ref=567212908A45688ADE49608352B17A7EC0A6ED0BAE068FD253C8EBBACE81046000A132338AJ3OBM" TargetMode="External"/><Relationship Id="rId1" Type="http://schemas.openxmlformats.org/officeDocument/2006/relationships/styles" Target="styles.xml"/><Relationship Id="rId6" Type="http://schemas.openxmlformats.org/officeDocument/2006/relationships/hyperlink" Target="consultantplus://offline/ref=567212908A45688ADE49608352B17A7EC0A6ED00A7068FD253C8EBBACEJ8O1M" TargetMode="External"/><Relationship Id="rId11" Type="http://schemas.openxmlformats.org/officeDocument/2006/relationships/hyperlink" Target="consultantplus://offline/ref=567212908A45688ADE49608352B17A7EC0A6EA0BA3058FD253C8EBBACE81046000A1323683381F79JDO1M" TargetMode="External"/><Relationship Id="rId24" Type="http://schemas.openxmlformats.org/officeDocument/2006/relationships/hyperlink" Target="consultantplus://offline/ref=567212908A45688ADE49608352B17A7EC3AFE500A3068FD253C8EBBACE81046000A13236833B1776JDO7M" TargetMode="External"/><Relationship Id="rId32"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567212908A45688ADE49608352B17A7EC0A6ED00A7068FD253C8EBBACE81046000A13236833A127EJDO3M" TargetMode="External"/><Relationship Id="rId23" Type="http://schemas.openxmlformats.org/officeDocument/2006/relationships/hyperlink" Target="consultantplus://offline/ref=567212908A45688ADE49608352B17A7EC0A6ED00A7068FD253C8EBBACE81046000A13236833B117FJDO4M" TargetMode="External"/><Relationship Id="rId28" Type="http://schemas.openxmlformats.org/officeDocument/2006/relationships/hyperlink" Target="consultantplus://offline/ref=567212908A45688ADE49608352B17A7EC0A6ED0BAE068FD253C8EBBACE81046000A1323387J3O9M" TargetMode="External"/><Relationship Id="rId10" Type="http://schemas.openxmlformats.org/officeDocument/2006/relationships/hyperlink" Target="consultantplus://offline/ref=567212908A45688ADE49608352B17A7EC0A6ED00A7068FD253C8EBBACE81046000A13236833A167CJDO2M" TargetMode="External"/><Relationship Id="rId19" Type="http://schemas.openxmlformats.org/officeDocument/2006/relationships/hyperlink" Target="consultantplus://offline/ref=567212908A45688ADE49608352B17A7EC0A6ED00A7068FD253C8EBBACEJ8O1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67212908A45688ADE49608352B17A7EC0A6ED00A7068FD253C8EBBACE81046000A13236833A167FJDO1M" TargetMode="External"/><Relationship Id="rId14" Type="http://schemas.openxmlformats.org/officeDocument/2006/relationships/hyperlink" Target="consultantplus://offline/ref=567212908A45688ADE49608352B17A7EC0A6ED00A7068FD253C8EBBACE81046000A13236833B157EJDO8M" TargetMode="External"/><Relationship Id="rId22" Type="http://schemas.openxmlformats.org/officeDocument/2006/relationships/hyperlink" Target="consultantplus://offline/ref=567212908A45688ADE49608352B17A7EC0A6ED00A7068FD253C8EBBACEJ8O1M" TargetMode="External"/><Relationship Id="rId27" Type="http://schemas.openxmlformats.org/officeDocument/2006/relationships/hyperlink" Target="consultantplus://offline/ref=567212908A45688ADE49608352B17A7EC0A6ED0BAE068FD253C8EBBACE81046000A1323483J3OBM" TargetMode="External"/><Relationship Id="rId30" Type="http://schemas.openxmlformats.org/officeDocument/2006/relationships/hyperlink" Target="consultantplus://offline/ref=567212908A45688ADE49608352B17A7EC0A6EB04AF008FD253C8EBBACE81046000A13236833A167CJD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1729</Words>
  <Characters>9861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dc:creator>
  <cp:lastModifiedBy>Ues</cp:lastModifiedBy>
  <cp:revision>1</cp:revision>
  <dcterms:created xsi:type="dcterms:W3CDTF">2017-11-23T12:14:00Z</dcterms:created>
  <dcterms:modified xsi:type="dcterms:W3CDTF">2017-11-23T12:14:00Z</dcterms:modified>
</cp:coreProperties>
</file>