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CE2" w:rsidRDefault="00911CE2">
      <w:pPr>
        <w:rPr>
          <w:rFonts w:ascii="Verdana" w:hAnsi="Verdana"/>
          <w:color w:val="000000"/>
          <w:sz w:val="18"/>
          <w:szCs w:val="18"/>
          <w:shd w:val="clear" w:color="auto" w:fill="DEE3E7"/>
        </w:rPr>
      </w:pPr>
      <w:r>
        <w:rPr>
          <w:rFonts w:ascii="Verdana" w:hAnsi="Verdana"/>
          <w:color w:val="000000"/>
          <w:sz w:val="18"/>
          <w:szCs w:val="18"/>
          <w:shd w:val="clear" w:color="auto" w:fill="DEE3E7"/>
        </w:rPr>
        <w:fldChar w:fldCharType="begin"/>
      </w:r>
      <w:r>
        <w:rPr>
          <w:rFonts w:ascii="Verdana" w:hAnsi="Verdana"/>
          <w:color w:val="000000"/>
          <w:sz w:val="18"/>
          <w:szCs w:val="18"/>
          <w:shd w:val="clear" w:color="auto" w:fill="DEE3E7"/>
        </w:rPr>
        <w:instrText xml:space="preserve"> HYPERLINK "</w:instrText>
      </w:r>
      <w:r w:rsidRPr="00911CE2">
        <w:rPr>
          <w:rFonts w:ascii="Verdana" w:hAnsi="Verdana"/>
          <w:color w:val="000000"/>
          <w:sz w:val="18"/>
          <w:szCs w:val="18"/>
          <w:shd w:val="clear" w:color="auto" w:fill="DEE3E7"/>
        </w:rPr>
        <w:instrText>http://www.medcom.ru/pages-view-70.html</w:instrText>
      </w:r>
      <w:r>
        <w:rPr>
          <w:rFonts w:ascii="Verdana" w:hAnsi="Verdana"/>
          <w:color w:val="000000"/>
          <w:sz w:val="18"/>
          <w:szCs w:val="18"/>
          <w:shd w:val="clear" w:color="auto" w:fill="DEE3E7"/>
        </w:rPr>
        <w:instrText xml:space="preserve">" </w:instrText>
      </w:r>
      <w:r>
        <w:rPr>
          <w:rFonts w:ascii="Verdana" w:hAnsi="Verdana"/>
          <w:color w:val="000000"/>
          <w:sz w:val="18"/>
          <w:szCs w:val="18"/>
          <w:shd w:val="clear" w:color="auto" w:fill="DEE3E7"/>
        </w:rPr>
        <w:fldChar w:fldCharType="separate"/>
      </w:r>
      <w:r w:rsidRPr="00053C3A">
        <w:rPr>
          <w:rStyle w:val="a3"/>
          <w:rFonts w:ascii="Verdana" w:hAnsi="Verdana"/>
          <w:sz w:val="18"/>
          <w:szCs w:val="18"/>
          <w:shd w:val="clear" w:color="auto" w:fill="DEE3E7"/>
        </w:rPr>
        <w:t>http://www.medcom.ru/pages-view-70.html</w:t>
      </w:r>
      <w:r>
        <w:rPr>
          <w:rFonts w:ascii="Verdana" w:hAnsi="Verdana"/>
          <w:color w:val="000000"/>
          <w:sz w:val="18"/>
          <w:szCs w:val="18"/>
          <w:shd w:val="clear" w:color="auto" w:fill="DEE3E7"/>
        </w:rPr>
        <w:fldChar w:fldCharType="end"/>
      </w:r>
    </w:p>
    <w:p w:rsidR="00911CE2" w:rsidRDefault="00911CE2">
      <w:pPr>
        <w:rPr>
          <w:rFonts w:ascii="Verdana" w:hAnsi="Verdana"/>
          <w:color w:val="000000"/>
          <w:sz w:val="18"/>
          <w:szCs w:val="18"/>
          <w:shd w:val="clear" w:color="auto" w:fill="DEE3E7"/>
        </w:rPr>
      </w:pPr>
    </w:p>
    <w:p w:rsidR="005F3A99" w:rsidRDefault="005F3A99">
      <w:pPr>
        <w:rPr>
          <w:rFonts w:ascii="Verdana" w:hAnsi="Verdana"/>
          <w:color w:val="000000"/>
          <w:sz w:val="18"/>
          <w:szCs w:val="18"/>
          <w:shd w:val="clear" w:color="auto" w:fill="DEE3E7"/>
        </w:rPr>
      </w:pPr>
      <w:r>
        <w:rPr>
          <w:rFonts w:ascii="Verdana" w:hAnsi="Verdana"/>
          <w:color w:val="000000"/>
          <w:sz w:val="18"/>
          <w:szCs w:val="18"/>
          <w:shd w:val="clear" w:color="auto" w:fill="DEE3E7"/>
        </w:rPr>
        <w:t>НДС не будет начисляться при условии, что медицинская техника имеет соответствующее регистрационное удостоверение</w:t>
      </w:r>
      <w:proofErr w:type="gramStart"/>
      <w:r>
        <w:rPr>
          <w:rFonts w:ascii="Verdana" w:hAnsi="Verdana"/>
          <w:color w:val="000000"/>
          <w:sz w:val="18"/>
          <w:szCs w:val="18"/>
          <w:shd w:val="clear" w:color="auto" w:fill="DEE3E7"/>
        </w:rPr>
        <w:t xml:space="preserve"> ,</w:t>
      </w:r>
      <w:proofErr w:type="gramEnd"/>
      <w:r>
        <w:rPr>
          <w:rFonts w:ascii="Verdana" w:hAnsi="Verdana"/>
          <w:color w:val="000000"/>
          <w:sz w:val="18"/>
          <w:szCs w:val="18"/>
          <w:shd w:val="clear" w:color="auto" w:fill="DEE3E7"/>
        </w:rPr>
        <w:t xml:space="preserve"> получение которого предусмотрено в Перечне важнейшей и жизненно необходимой медицинской техники, реализация которой на территории Российской Федерации не подлежит обложению налогом на добавленную стоимость, утвержденном Постановлением Правительства РФ от 17.01.2002 N 19.</w:t>
      </w:r>
    </w:p>
    <w:p w:rsidR="00911CE2" w:rsidRDefault="00911CE2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911CE2" w:rsidRPr="005F3A99" w:rsidRDefault="00911CE2"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В соответствии с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пп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 4 п. 2 ст. 164 НК РФ налогообложение производится по налоговой ставке 10 процентов при реализации медицинских товаров отечественного и зарубежного производства по закрытому списку.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Коды видов продукции, перечисленных в настоящем пункте, в соответствии с Общероссийским классификатором продукции, а также Товарной номенклатурой внешнеэкономической деятельности определяются Правительством Российской Федерации.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Обычной практикой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подтверждения правильности применения налоговой ставки 10% является наличие сертификатов соответствия. Указанные сертификаты подлежат получению в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Роспотребнадзоре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и в них есть указание на присвоение определенного кода продукции в соответствии с Общероссийским классификатором.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Обращаем Ваше внимание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на то, что в Налоговом кодексе нет четких указаний на то, что такие сертификаты необходимы для подтверждения ставки. Поэтому их необходимость определяется судебной практикой.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Так, например, в Постановлении ФАС Северо-Западного округа от 27.07.2009 по делу N А56-31402/2008 указано, что непредставление сертификатов соответствия препятствует применению налогоплательщиком ставки 10 процентов даже с учетом того, что реализуемый товар входил в перечень продукции, облагаемой по соответствующей ставке.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Противоположную практику можно найти в Постановлении ФАС Уральского округа от 11.03.2009 N Ф09-1165/09-С2 по делу N А07-1768/2008-А-ВЕТ.</w:t>
      </w:r>
    </w:p>
    <w:sectPr w:rsidR="00911CE2" w:rsidRPr="005F3A99" w:rsidSect="00284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3A99"/>
    <w:rsid w:val="002840F1"/>
    <w:rsid w:val="005F3A99"/>
    <w:rsid w:val="00911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0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3A99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911C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"Геомассив - ЮГ"</Company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1</cp:revision>
  <dcterms:created xsi:type="dcterms:W3CDTF">2013-10-17T08:59:00Z</dcterms:created>
  <dcterms:modified xsi:type="dcterms:W3CDTF">2013-10-17T09:26:00Z</dcterms:modified>
</cp:coreProperties>
</file>