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A4" w:rsidRDefault="00A140A4" w:rsidP="00A140A4">
      <w:pPr>
        <w:pStyle w:val="ConsPlusNormal"/>
        <w:ind w:firstLine="0"/>
        <w:jc w:val="right"/>
      </w:pPr>
    </w:p>
    <w:p w:rsidR="00431B03" w:rsidRDefault="00431B03" w:rsidP="00A140A4">
      <w:pPr>
        <w:pStyle w:val="ConsPlusNormal"/>
        <w:ind w:firstLine="0"/>
        <w:jc w:val="right"/>
      </w:pPr>
    </w:p>
    <w:p w:rsidR="00431B03" w:rsidRDefault="00431B03" w:rsidP="00A140A4">
      <w:pPr>
        <w:pStyle w:val="ConsPlusNormal"/>
        <w:ind w:firstLine="0"/>
        <w:jc w:val="right"/>
      </w:pPr>
    </w:p>
    <w:p w:rsidR="00431B03" w:rsidRDefault="00431B03" w:rsidP="00A140A4">
      <w:pPr>
        <w:pStyle w:val="ConsPlusNormal"/>
        <w:ind w:firstLine="0"/>
        <w:jc w:val="right"/>
      </w:pP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МИНИСТЕРСТВО ЭКОНОМИЧЕСКОГО РАЗВИТИЯ РОССИЙСКОЙ ФЕДЕРАЦИИ</w:t>
      </w: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19 августа 2009 г. N 13613-АП/Д05</w:t>
      </w:r>
    </w:p>
    <w:p w:rsidR="00431B03" w:rsidRPr="00431B03" w:rsidRDefault="00431B03" w:rsidP="00431B03">
      <w:pPr>
        <w:autoSpaceDE w:val="0"/>
        <w:autoSpaceDN w:val="0"/>
        <w:adjustRightInd w:val="0"/>
        <w:spacing w:after="0" w:line="240" w:lineRule="auto"/>
        <w:jc w:val="center"/>
        <w:outlineLvl w:val="0"/>
        <w:rPr>
          <w:rFonts w:ascii="Calibri" w:hAnsi="Calibri" w:cs="Calibri"/>
          <w:b/>
          <w:bCs/>
        </w:rPr>
      </w:pP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ФЕДЕРАЛЬНАЯ АНТИМОНОПОЛЬНАЯ СЛУЖБА</w:t>
      </w: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18 августа 2009 г. N ИА/27690</w:t>
      </w:r>
    </w:p>
    <w:p w:rsidR="00431B03" w:rsidRPr="00431B03" w:rsidRDefault="00431B03" w:rsidP="00431B03">
      <w:pPr>
        <w:autoSpaceDE w:val="0"/>
        <w:autoSpaceDN w:val="0"/>
        <w:adjustRightInd w:val="0"/>
        <w:spacing w:after="0" w:line="240" w:lineRule="auto"/>
        <w:jc w:val="center"/>
        <w:rPr>
          <w:rFonts w:ascii="Calibri" w:hAnsi="Calibri" w:cs="Calibri"/>
          <w:b/>
          <w:bCs/>
        </w:rPr>
      </w:pP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ПИСЬМО</w:t>
      </w:r>
    </w:p>
    <w:p w:rsidR="00431B03" w:rsidRPr="00431B03" w:rsidRDefault="00431B03" w:rsidP="00431B03">
      <w:pPr>
        <w:autoSpaceDE w:val="0"/>
        <w:autoSpaceDN w:val="0"/>
        <w:adjustRightInd w:val="0"/>
        <w:spacing w:after="0" w:line="240" w:lineRule="auto"/>
        <w:jc w:val="center"/>
        <w:rPr>
          <w:rFonts w:ascii="Calibri" w:hAnsi="Calibri" w:cs="Calibri"/>
          <w:b/>
          <w:bCs/>
        </w:rPr>
      </w:pP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О РАЗЪЯСНЕНИИ ОТДЕЛЬНЫХ ПОЛОЖЕНИЙ</w:t>
      </w: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ФЕДЕРАЛЬНОГО ЗАКОНА ОТ 21 ИЮЛЯ 2005 Г. N 94-ФЗ</w:t>
      </w: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"О РАЗМЕЩЕНИИ ЗАКАЗОВ НА ПОСТАВКИ ТОВАРОВ, ВЫПОЛНЕНИЕ</w:t>
      </w: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 xml:space="preserve">РАБОТ, ОКАЗАНИЕ УСЛУГ </w:t>
      </w:r>
      <w:proofErr w:type="gramStart"/>
      <w:r w:rsidRPr="00431B03">
        <w:rPr>
          <w:rFonts w:ascii="Calibri" w:hAnsi="Calibri" w:cs="Calibri"/>
          <w:b/>
          <w:bCs/>
        </w:rPr>
        <w:t>ДЛЯ</w:t>
      </w:r>
      <w:proofErr w:type="gramEnd"/>
      <w:r w:rsidRPr="00431B03">
        <w:rPr>
          <w:rFonts w:ascii="Calibri" w:hAnsi="Calibri" w:cs="Calibri"/>
          <w:b/>
          <w:bCs/>
        </w:rPr>
        <w:t xml:space="preserve"> ГОСУДАРСТВЕННЫХ</w:t>
      </w:r>
    </w:p>
    <w:p w:rsidR="00431B03" w:rsidRPr="00431B03" w:rsidRDefault="00431B03" w:rsidP="00431B03">
      <w:pPr>
        <w:autoSpaceDE w:val="0"/>
        <w:autoSpaceDN w:val="0"/>
        <w:adjustRightInd w:val="0"/>
        <w:spacing w:after="0" w:line="240" w:lineRule="auto"/>
        <w:jc w:val="center"/>
        <w:rPr>
          <w:rFonts w:ascii="Calibri" w:hAnsi="Calibri" w:cs="Calibri"/>
          <w:b/>
          <w:bCs/>
        </w:rPr>
      </w:pPr>
      <w:r w:rsidRPr="00431B03">
        <w:rPr>
          <w:rFonts w:ascii="Calibri" w:hAnsi="Calibri" w:cs="Calibri"/>
          <w:b/>
          <w:bCs/>
        </w:rPr>
        <w:t>И МУНИЦИПАЛЬНЫХ НУЖД"</w:t>
      </w:r>
    </w:p>
    <w:p w:rsidR="00431B03" w:rsidRPr="00431B03" w:rsidRDefault="00431B03" w:rsidP="00431B03">
      <w:pPr>
        <w:autoSpaceDE w:val="0"/>
        <w:autoSpaceDN w:val="0"/>
        <w:adjustRightInd w:val="0"/>
        <w:spacing w:after="0" w:line="240" w:lineRule="auto"/>
        <w:jc w:val="center"/>
        <w:rPr>
          <w:rFonts w:ascii="Calibri" w:hAnsi="Calibri" w:cs="Calibri"/>
        </w:rPr>
      </w:pP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В связи с возникающими вопросами о применении некоторых положений Федерального </w:t>
      </w:r>
      <w:hyperlink r:id="rId4" w:history="1">
        <w:r w:rsidRPr="00431B03">
          <w:rPr>
            <w:rFonts w:ascii="Calibri" w:hAnsi="Calibri" w:cs="Calibri"/>
            <w:color w:val="0000FF"/>
          </w:rPr>
          <w:t>закона</w:t>
        </w:r>
      </w:hyperlink>
      <w:r w:rsidRPr="00431B03">
        <w:rPr>
          <w:rFonts w:ascii="Calibri" w:hAnsi="Calibri" w:cs="Calibri"/>
        </w:rPr>
        <w:t xml:space="preserve"> от 21.07.2005 N 94-ФЗ "О размещении заказов на поставки товаров, выполнение работ, оказание услуг для государственных и муниципальных нужд" (далее - Закон) Министерство экономического развития Российской Федерации и Федеральная антимонопольная служба сообщают следующее.</w:t>
      </w:r>
    </w:p>
    <w:p w:rsidR="00431B03" w:rsidRPr="00431B03" w:rsidRDefault="00431B03" w:rsidP="00431B03">
      <w:pPr>
        <w:pBdr>
          <w:top w:val="single" w:sz="6" w:space="0" w:color="auto"/>
        </w:pBdr>
        <w:autoSpaceDE w:val="0"/>
        <w:autoSpaceDN w:val="0"/>
        <w:adjustRightInd w:val="0"/>
        <w:spacing w:after="0" w:line="240" w:lineRule="auto"/>
        <w:rPr>
          <w:rFonts w:ascii="Courier New" w:hAnsi="Courier New" w:cs="Courier New"/>
          <w:sz w:val="2"/>
          <w:szCs w:val="2"/>
        </w:rPr>
      </w:pP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spellStart"/>
      <w:r w:rsidRPr="00431B03">
        <w:rPr>
          <w:rFonts w:ascii="Calibri" w:hAnsi="Calibri" w:cs="Calibri"/>
        </w:rPr>
        <w:t>КонсультантПлюс</w:t>
      </w:r>
      <w:proofErr w:type="spellEnd"/>
      <w:r w:rsidRPr="00431B03">
        <w:rPr>
          <w:rFonts w:ascii="Calibri" w:hAnsi="Calibri" w:cs="Calibri"/>
        </w:rPr>
        <w:t>: примечание.</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В официальном тексте документа, </w:t>
      </w:r>
      <w:proofErr w:type="gramStart"/>
      <w:r w:rsidRPr="00431B03">
        <w:rPr>
          <w:rFonts w:ascii="Calibri" w:hAnsi="Calibri" w:cs="Calibri"/>
        </w:rPr>
        <w:t>видимо</w:t>
      </w:r>
      <w:proofErr w:type="gramEnd"/>
      <w:r w:rsidRPr="00431B03">
        <w:rPr>
          <w:rFonts w:ascii="Calibri" w:hAnsi="Calibri" w:cs="Calibri"/>
        </w:rPr>
        <w:t xml:space="preserve"> допущена опечатка: имеется в виду пункт 1 части 4 статьи 34, а не пункт 1 части 3 статьи 34.</w:t>
      </w:r>
    </w:p>
    <w:p w:rsidR="00431B03" w:rsidRPr="00431B03" w:rsidRDefault="00431B03" w:rsidP="00431B03">
      <w:pPr>
        <w:pBdr>
          <w:top w:val="single" w:sz="6" w:space="0" w:color="auto"/>
        </w:pBdr>
        <w:autoSpaceDE w:val="0"/>
        <w:autoSpaceDN w:val="0"/>
        <w:adjustRightInd w:val="0"/>
        <w:spacing w:after="0" w:line="240" w:lineRule="auto"/>
        <w:rPr>
          <w:rFonts w:ascii="Courier New" w:hAnsi="Courier New" w:cs="Courier New"/>
          <w:sz w:val="2"/>
          <w:szCs w:val="2"/>
        </w:rPr>
      </w:pP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1. </w:t>
      </w:r>
      <w:hyperlink r:id="rId5" w:history="1">
        <w:r w:rsidRPr="00431B03">
          <w:rPr>
            <w:rFonts w:ascii="Calibri" w:hAnsi="Calibri" w:cs="Calibri"/>
            <w:color w:val="0000FF"/>
          </w:rPr>
          <w:t>Пунктом 1 части 4 статьи 22</w:t>
        </w:r>
      </w:hyperlink>
      <w:r w:rsidRPr="00431B03">
        <w:rPr>
          <w:rFonts w:ascii="Calibri" w:hAnsi="Calibri" w:cs="Calibri"/>
        </w:rPr>
        <w:t xml:space="preserve">, пунктом 1 части 3 </w:t>
      </w:r>
      <w:hyperlink r:id="rId6" w:history="1">
        <w:r w:rsidRPr="00431B03">
          <w:rPr>
            <w:rFonts w:ascii="Calibri" w:hAnsi="Calibri" w:cs="Calibri"/>
            <w:color w:val="0000FF"/>
          </w:rPr>
          <w:t>статьи 34</w:t>
        </w:r>
      </w:hyperlink>
      <w:r w:rsidRPr="00431B03">
        <w:rPr>
          <w:rFonts w:ascii="Calibri" w:hAnsi="Calibri" w:cs="Calibri"/>
        </w:rPr>
        <w:t xml:space="preserve"> Закона установлено, что конкурсная документация и документация об аукционе (далее - документация о торгах) должны содержать требования к содержанию и форме заявки на участие в конкурсе или аукционе (далее - в торгах).</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gramStart"/>
      <w:r w:rsidRPr="00431B03">
        <w:rPr>
          <w:rFonts w:ascii="Calibri" w:hAnsi="Calibri" w:cs="Calibri"/>
        </w:rPr>
        <w:t xml:space="preserve">В целях соблюдения указанных требований </w:t>
      </w:r>
      <w:hyperlink r:id="rId7" w:history="1">
        <w:r w:rsidRPr="00431B03">
          <w:rPr>
            <w:rFonts w:ascii="Calibri" w:hAnsi="Calibri" w:cs="Calibri"/>
            <w:color w:val="0000FF"/>
          </w:rPr>
          <w:t>Закона</w:t>
        </w:r>
      </w:hyperlink>
      <w:r w:rsidRPr="00431B03">
        <w:rPr>
          <w:rFonts w:ascii="Calibri" w:hAnsi="Calibri" w:cs="Calibri"/>
        </w:rPr>
        <w:t xml:space="preserve"> при разработке документации о торгах заказчик, уполномоченный орган обязаны установить в документации о торгах требования к содержанию и форме заявки на участие в конкурсе и заявке на участие в аукционе (далее - заявка на участие в торгах), в том числе форма заявки на участие в торгах должна предусматривать обязательность декларирования участником размещения заказа своего соответствия</w:t>
      </w:r>
      <w:proofErr w:type="gramEnd"/>
      <w:r w:rsidRPr="00431B03">
        <w:rPr>
          <w:rFonts w:ascii="Calibri" w:hAnsi="Calibri" w:cs="Calibri"/>
        </w:rPr>
        <w:t xml:space="preserve"> требованиям, предусмотренным в </w:t>
      </w:r>
      <w:hyperlink r:id="rId8" w:history="1">
        <w:r w:rsidRPr="00431B03">
          <w:rPr>
            <w:rFonts w:ascii="Calibri" w:hAnsi="Calibri" w:cs="Calibri"/>
            <w:color w:val="0000FF"/>
          </w:rPr>
          <w:t>пунктах 2</w:t>
        </w:r>
      </w:hyperlink>
      <w:r w:rsidRPr="00431B03">
        <w:rPr>
          <w:rFonts w:ascii="Calibri" w:hAnsi="Calibri" w:cs="Calibri"/>
        </w:rPr>
        <w:t xml:space="preserve"> - </w:t>
      </w:r>
      <w:hyperlink r:id="rId9" w:history="1">
        <w:r w:rsidRPr="00431B03">
          <w:rPr>
            <w:rFonts w:ascii="Calibri" w:hAnsi="Calibri" w:cs="Calibri"/>
            <w:color w:val="0000FF"/>
          </w:rPr>
          <w:t>4 части 1 статьи 11</w:t>
        </w:r>
      </w:hyperlink>
      <w:r w:rsidRPr="00431B03">
        <w:rPr>
          <w:rFonts w:ascii="Calibri" w:hAnsi="Calibri" w:cs="Calibri"/>
        </w:rPr>
        <w:t xml:space="preserve"> Закона.</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Минэкономразвития России и ФАС России обращают внимание, что </w:t>
      </w:r>
      <w:hyperlink r:id="rId10" w:history="1">
        <w:r w:rsidRPr="00431B03">
          <w:rPr>
            <w:rFonts w:ascii="Calibri" w:hAnsi="Calibri" w:cs="Calibri"/>
            <w:color w:val="0000FF"/>
          </w:rPr>
          <w:t>частью 1 статьи 25</w:t>
        </w:r>
      </w:hyperlink>
      <w:r w:rsidRPr="00431B03">
        <w:rPr>
          <w:rFonts w:ascii="Calibri" w:hAnsi="Calibri" w:cs="Calibri"/>
        </w:rPr>
        <w:t xml:space="preserve">, </w:t>
      </w:r>
      <w:hyperlink r:id="rId11" w:history="1">
        <w:r w:rsidRPr="00431B03">
          <w:rPr>
            <w:rFonts w:ascii="Calibri" w:hAnsi="Calibri" w:cs="Calibri"/>
            <w:color w:val="0000FF"/>
          </w:rPr>
          <w:t>частью 1 статьи 35</w:t>
        </w:r>
      </w:hyperlink>
      <w:r w:rsidRPr="00431B03">
        <w:rPr>
          <w:rFonts w:ascii="Calibri" w:hAnsi="Calibri" w:cs="Calibri"/>
        </w:rPr>
        <w:t xml:space="preserve"> Закона предусмотрено, что заявка на участие в торгах подается по форме, которая установлена документацией о торгах. При этом в соответствии с </w:t>
      </w:r>
      <w:hyperlink r:id="rId12" w:history="1">
        <w:r w:rsidRPr="00431B03">
          <w:rPr>
            <w:rFonts w:ascii="Calibri" w:hAnsi="Calibri" w:cs="Calibri"/>
            <w:color w:val="0000FF"/>
          </w:rPr>
          <w:t>пунктом 4 части 1 статьи 12</w:t>
        </w:r>
      </w:hyperlink>
      <w:r w:rsidRPr="00431B03">
        <w:rPr>
          <w:rFonts w:ascii="Calibri" w:hAnsi="Calibri" w:cs="Calibri"/>
        </w:rPr>
        <w:t xml:space="preserve"> Закона при рассмотрении заявок на участие в торгах участник размещения заказа не допускается конкурсной или аукционной комиссией </w:t>
      </w:r>
      <w:proofErr w:type="gramStart"/>
      <w:r w:rsidRPr="00431B03">
        <w:rPr>
          <w:rFonts w:ascii="Calibri" w:hAnsi="Calibri" w:cs="Calibri"/>
        </w:rPr>
        <w:t>к участию в торгах в случае несоответствия заявки на участие в торгах</w:t>
      </w:r>
      <w:proofErr w:type="gramEnd"/>
      <w:r w:rsidRPr="00431B03">
        <w:rPr>
          <w:rFonts w:ascii="Calibri" w:hAnsi="Calibri" w:cs="Calibri"/>
        </w:rPr>
        <w:t xml:space="preserve"> требованиям документации о торгах.</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gramStart"/>
      <w:r w:rsidRPr="00431B03">
        <w:rPr>
          <w:rFonts w:ascii="Calibri" w:hAnsi="Calibri" w:cs="Calibri"/>
        </w:rPr>
        <w:t xml:space="preserve">Учитывая изложенное, Минэкономразвития России и ФАС России считают, что отсутствие в форме заявки, установленной документацией о торгах, обязательного декларирования участником размещения заказа своего соответствия требованиям </w:t>
      </w:r>
      <w:hyperlink r:id="rId13" w:history="1">
        <w:r w:rsidRPr="00431B03">
          <w:rPr>
            <w:rFonts w:ascii="Calibri" w:hAnsi="Calibri" w:cs="Calibri"/>
            <w:color w:val="0000FF"/>
          </w:rPr>
          <w:t>пунктов 2</w:t>
        </w:r>
      </w:hyperlink>
      <w:r w:rsidRPr="00431B03">
        <w:rPr>
          <w:rFonts w:ascii="Calibri" w:hAnsi="Calibri" w:cs="Calibri"/>
        </w:rPr>
        <w:t xml:space="preserve"> - </w:t>
      </w:r>
      <w:hyperlink r:id="rId14" w:history="1">
        <w:r w:rsidRPr="00431B03">
          <w:rPr>
            <w:rFonts w:ascii="Calibri" w:hAnsi="Calibri" w:cs="Calibri"/>
            <w:color w:val="0000FF"/>
          </w:rPr>
          <w:t>4 части 1 статьи 11</w:t>
        </w:r>
      </w:hyperlink>
      <w:r w:rsidRPr="00431B03">
        <w:rPr>
          <w:rFonts w:ascii="Calibri" w:hAnsi="Calibri" w:cs="Calibri"/>
        </w:rPr>
        <w:t xml:space="preserve"> Закона является нарушением </w:t>
      </w:r>
      <w:hyperlink r:id="rId15" w:history="1">
        <w:r w:rsidRPr="00431B03">
          <w:rPr>
            <w:rFonts w:ascii="Calibri" w:hAnsi="Calibri" w:cs="Calibri"/>
            <w:color w:val="0000FF"/>
          </w:rPr>
          <w:t>пункта 1 части 4 статьи 22</w:t>
        </w:r>
      </w:hyperlink>
      <w:r w:rsidRPr="00431B03">
        <w:rPr>
          <w:rFonts w:ascii="Calibri" w:hAnsi="Calibri" w:cs="Calibri"/>
        </w:rPr>
        <w:t xml:space="preserve">, пункта 1 части 3 </w:t>
      </w:r>
      <w:hyperlink r:id="rId16" w:history="1">
        <w:r w:rsidRPr="00431B03">
          <w:rPr>
            <w:rFonts w:ascii="Calibri" w:hAnsi="Calibri" w:cs="Calibri"/>
            <w:color w:val="0000FF"/>
          </w:rPr>
          <w:t>статьи 34</w:t>
        </w:r>
      </w:hyperlink>
      <w:r w:rsidRPr="00431B03">
        <w:rPr>
          <w:rFonts w:ascii="Calibri" w:hAnsi="Calibri" w:cs="Calibri"/>
        </w:rPr>
        <w:t xml:space="preserve"> Закона и в указанном случае отказ в допуске к участию в торгах участнику</w:t>
      </w:r>
      <w:proofErr w:type="gramEnd"/>
      <w:r w:rsidRPr="00431B03">
        <w:rPr>
          <w:rFonts w:ascii="Calibri" w:hAnsi="Calibri" w:cs="Calibri"/>
        </w:rPr>
        <w:t xml:space="preserve"> размещения заказа в связи с отсутствием в его заявке декларирования таким требованиям будет являться нарушением </w:t>
      </w:r>
      <w:hyperlink r:id="rId17" w:history="1">
        <w:r w:rsidRPr="00431B03">
          <w:rPr>
            <w:rFonts w:ascii="Calibri" w:hAnsi="Calibri" w:cs="Calibri"/>
            <w:color w:val="0000FF"/>
          </w:rPr>
          <w:t>части 2 статьи 12</w:t>
        </w:r>
      </w:hyperlink>
      <w:r w:rsidRPr="00431B03">
        <w:rPr>
          <w:rFonts w:ascii="Calibri" w:hAnsi="Calibri" w:cs="Calibri"/>
        </w:rPr>
        <w:t xml:space="preserve"> Закона.</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2. </w:t>
      </w:r>
      <w:proofErr w:type="gramStart"/>
      <w:r w:rsidRPr="00431B03">
        <w:rPr>
          <w:rFonts w:ascii="Calibri" w:hAnsi="Calibri" w:cs="Calibri"/>
        </w:rPr>
        <w:t xml:space="preserve">В соответствии с </w:t>
      </w:r>
      <w:hyperlink r:id="rId18" w:history="1">
        <w:r w:rsidRPr="00431B03">
          <w:rPr>
            <w:rFonts w:ascii="Calibri" w:hAnsi="Calibri" w:cs="Calibri"/>
            <w:color w:val="0000FF"/>
          </w:rPr>
          <w:t>подпунктом е) пункта 1 части 3 статьи 25</w:t>
        </w:r>
      </w:hyperlink>
      <w:r w:rsidRPr="00431B03">
        <w:rPr>
          <w:rFonts w:ascii="Calibri" w:hAnsi="Calibri" w:cs="Calibri"/>
        </w:rPr>
        <w:t xml:space="preserve">, </w:t>
      </w:r>
      <w:hyperlink r:id="rId19" w:history="1">
        <w:r w:rsidRPr="00431B03">
          <w:rPr>
            <w:rFonts w:ascii="Calibri" w:hAnsi="Calibri" w:cs="Calibri"/>
            <w:color w:val="0000FF"/>
          </w:rPr>
          <w:t xml:space="preserve">подпунктом </w:t>
        </w:r>
        <w:proofErr w:type="spellStart"/>
        <w:r w:rsidRPr="00431B03">
          <w:rPr>
            <w:rFonts w:ascii="Calibri" w:hAnsi="Calibri" w:cs="Calibri"/>
            <w:color w:val="0000FF"/>
          </w:rPr>
          <w:t>д</w:t>
        </w:r>
        <w:proofErr w:type="spellEnd"/>
        <w:r w:rsidRPr="00431B03">
          <w:rPr>
            <w:rFonts w:ascii="Calibri" w:hAnsi="Calibri" w:cs="Calibri"/>
            <w:color w:val="0000FF"/>
          </w:rPr>
          <w:t>) пункта 1 части 2 статьи 35</w:t>
        </w:r>
      </w:hyperlink>
      <w:r w:rsidRPr="00431B03">
        <w:rPr>
          <w:rFonts w:ascii="Calibri" w:hAnsi="Calibri" w:cs="Calibri"/>
        </w:rPr>
        <w:t xml:space="preserve"> Закона заявка должна содержать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w:t>
      </w:r>
      <w:proofErr w:type="gramEnd"/>
      <w:r w:rsidRPr="00431B03">
        <w:rPr>
          <w:rFonts w:ascii="Calibri" w:hAnsi="Calibri" w:cs="Calibri"/>
        </w:rPr>
        <w:t xml:space="preserve"> для участника размещения </w:t>
      </w:r>
      <w:r w:rsidRPr="00431B03">
        <w:rPr>
          <w:rFonts w:ascii="Calibri" w:hAnsi="Calibri" w:cs="Calibri"/>
        </w:rPr>
        <w:lastRenderedPageBreak/>
        <w:t>заказа поставки товаров, выполнение работ, оказание услуг, являющихся предметом контракта, или внесение денежных сре</w:t>
      </w:r>
      <w:proofErr w:type="gramStart"/>
      <w:r w:rsidRPr="00431B03">
        <w:rPr>
          <w:rFonts w:ascii="Calibri" w:hAnsi="Calibri" w:cs="Calibri"/>
        </w:rPr>
        <w:t>дств в к</w:t>
      </w:r>
      <w:proofErr w:type="gramEnd"/>
      <w:r w:rsidRPr="00431B03">
        <w:rPr>
          <w:rFonts w:ascii="Calibri" w:hAnsi="Calibri" w:cs="Calibri"/>
        </w:rPr>
        <w:t>ачестве обеспечения заявки на участие в торгах, обеспечения исполнения контракта являются крупной сделкой.</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Указанными положениями Закона установлена обязанность участника размещения заказа предоставления в составе заявки на участие в торгах решения об одобрении или о совершении крупной сделки только в тех случаях, если указанные действия являются для участника размещения заказа крупной сделкой, в иных случаях представление такого решения не требуется.</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Форма заявки, установленная документацией о торгах, не должна предусматривать декларирование участником размещения заказа относится ли поставка товаров, выполнение работ, оказание услуг, являющихся предметом контракта, или внесение денежных сре</w:t>
      </w:r>
      <w:proofErr w:type="gramStart"/>
      <w:r w:rsidRPr="00431B03">
        <w:rPr>
          <w:rFonts w:ascii="Calibri" w:hAnsi="Calibri" w:cs="Calibri"/>
        </w:rPr>
        <w:t>дств в к</w:t>
      </w:r>
      <w:proofErr w:type="gramEnd"/>
      <w:r w:rsidRPr="00431B03">
        <w:rPr>
          <w:rFonts w:ascii="Calibri" w:hAnsi="Calibri" w:cs="Calibri"/>
        </w:rPr>
        <w:t>ачестве обеспечения заявки, обеспечения исполнения контракта для такого участника размещения заказа к крупной сделке. При этом документация о торгах должна содержать требование о представлении участником размещения заказа в составе заявки решения в случае, если указанные действия для такого участника размещения заказа являются крупной сделкой.</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Таким образом, в случае, если для участника размещения заказа поставка товаров, выполнение работ, оказание услуг, являющихся предметом контракта, или внесение денежных сре</w:t>
      </w:r>
      <w:proofErr w:type="gramStart"/>
      <w:r w:rsidRPr="00431B03">
        <w:rPr>
          <w:rFonts w:ascii="Calibri" w:hAnsi="Calibri" w:cs="Calibri"/>
        </w:rPr>
        <w:t>дств в к</w:t>
      </w:r>
      <w:proofErr w:type="gramEnd"/>
      <w:r w:rsidRPr="00431B03">
        <w:rPr>
          <w:rFonts w:ascii="Calibri" w:hAnsi="Calibri" w:cs="Calibri"/>
        </w:rPr>
        <w:t xml:space="preserve">ачестве обеспечения заявки, обеспечения исполнения контракта являются крупной сделкой, то в заявке такого участника должно представляться решение об одобрении или о совершении крупной сделки. Непредставление участником размещения заказа в составе заявки на участие в торгах решения об одобрении или о совершении крупной сделки означает, что указанные действия (одно из действий, в отношении которого не представлено решение) для такого участника не являются крупной </w:t>
      </w:r>
      <w:proofErr w:type="gramStart"/>
      <w:r w:rsidRPr="00431B03">
        <w:rPr>
          <w:rFonts w:ascii="Calibri" w:hAnsi="Calibri" w:cs="Calibri"/>
        </w:rPr>
        <w:t>сделкой</w:t>
      </w:r>
      <w:proofErr w:type="gramEnd"/>
      <w:r w:rsidRPr="00431B03">
        <w:rPr>
          <w:rFonts w:ascii="Calibri" w:hAnsi="Calibri" w:cs="Calibri"/>
        </w:rPr>
        <w:t xml:space="preserve"> и отказ в допуске к участию в торгах в связи с непредставлением указанного решения будет являться нарушением </w:t>
      </w:r>
      <w:hyperlink r:id="rId20" w:history="1">
        <w:r w:rsidRPr="00431B03">
          <w:rPr>
            <w:rFonts w:ascii="Calibri" w:hAnsi="Calibri" w:cs="Calibri"/>
            <w:color w:val="0000FF"/>
          </w:rPr>
          <w:t>части 2 статьи 12</w:t>
        </w:r>
      </w:hyperlink>
      <w:r w:rsidRPr="00431B03">
        <w:rPr>
          <w:rFonts w:ascii="Calibri" w:hAnsi="Calibri" w:cs="Calibri"/>
        </w:rPr>
        <w:t xml:space="preserve"> Закона.</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3. </w:t>
      </w:r>
      <w:proofErr w:type="gramStart"/>
      <w:r w:rsidRPr="00431B03">
        <w:rPr>
          <w:rFonts w:ascii="Calibri" w:hAnsi="Calibri" w:cs="Calibri"/>
        </w:rPr>
        <w:t xml:space="preserve">В соответствии с </w:t>
      </w:r>
      <w:hyperlink r:id="rId21" w:history="1">
        <w:r w:rsidRPr="00431B03">
          <w:rPr>
            <w:rFonts w:ascii="Calibri" w:hAnsi="Calibri" w:cs="Calibri"/>
            <w:color w:val="0000FF"/>
          </w:rPr>
          <w:t>подпунктом а) пункта 3 части 3 статьи 25</w:t>
        </w:r>
      </w:hyperlink>
      <w:r w:rsidRPr="00431B03">
        <w:rPr>
          <w:rFonts w:ascii="Calibri" w:hAnsi="Calibri" w:cs="Calibri"/>
        </w:rPr>
        <w:t xml:space="preserve">, </w:t>
      </w:r>
      <w:hyperlink r:id="rId22" w:history="1">
        <w:r w:rsidRPr="00431B03">
          <w:rPr>
            <w:rFonts w:ascii="Calibri" w:hAnsi="Calibri" w:cs="Calibri"/>
            <w:color w:val="0000FF"/>
          </w:rPr>
          <w:t>подпунктом а) пункта 3 части 2 статьи 35</w:t>
        </w:r>
      </w:hyperlink>
      <w:r w:rsidRPr="00431B03">
        <w:rPr>
          <w:rFonts w:ascii="Calibri" w:hAnsi="Calibri" w:cs="Calibri"/>
        </w:rPr>
        <w:t xml:space="preserve"> Закона участник размещения заказа должен предоставить в составе заявки на участие в торгах документы, подтверждающие внесение денежных средств в качестве обеспечения такой заявки, в случае, если в документации о торгах содержится указание на требование обеспечения заявки на участие в торгах (платежное</w:t>
      </w:r>
      <w:proofErr w:type="gramEnd"/>
      <w:r w:rsidRPr="00431B03">
        <w:rPr>
          <w:rFonts w:ascii="Calibri" w:hAnsi="Calibri" w:cs="Calibri"/>
        </w:rPr>
        <w:t xml:space="preserve"> поручение, подтверждающее перечисление денежных сре</w:t>
      </w:r>
      <w:proofErr w:type="gramStart"/>
      <w:r w:rsidRPr="00431B03">
        <w:rPr>
          <w:rFonts w:ascii="Calibri" w:hAnsi="Calibri" w:cs="Calibri"/>
        </w:rPr>
        <w:t>дств в к</w:t>
      </w:r>
      <w:proofErr w:type="gramEnd"/>
      <w:r w:rsidRPr="00431B03">
        <w:rPr>
          <w:rFonts w:ascii="Calibri" w:hAnsi="Calibri" w:cs="Calibri"/>
        </w:rPr>
        <w:t>ачестве обеспечения заявки на участие в торгах, или копию такого поручения).</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gramStart"/>
      <w:r w:rsidRPr="00431B03">
        <w:rPr>
          <w:rFonts w:ascii="Calibri" w:hAnsi="Calibri" w:cs="Calibri"/>
        </w:rPr>
        <w:t xml:space="preserve">Минэкономразвития России и ФАС России обращают внимание, что в соответствии с </w:t>
      </w:r>
      <w:hyperlink r:id="rId23" w:history="1">
        <w:r w:rsidRPr="00431B03">
          <w:rPr>
            <w:rFonts w:ascii="Calibri" w:hAnsi="Calibri" w:cs="Calibri"/>
            <w:color w:val="0000FF"/>
          </w:rPr>
          <w:t>частью 4 статьи 12</w:t>
        </w:r>
      </w:hyperlink>
      <w:r w:rsidRPr="00431B03">
        <w:rPr>
          <w:rFonts w:ascii="Calibri" w:hAnsi="Calibri" w:cs="Calibri"/>
        </w:rPr>
        <w:t xml:space="preserve"> Закона заказчик, уполномоченный орган, конкурсная или аукционная комиссия обязаны отстранить участника размещения заказа от участия в конкурсе или аукционе на любом этапе их проведения в случае установления недостоверности сведений, содержащихся в документах, представленных участником размещения заказа в соответствии с </w:t>
      </w:r>
      <w:hyperlink r:id="rId24" w:history="1">
        <w:r w:rsidRPr="00431B03">
          <w:rPr>
            <w:rFonts w:ascii="Calibri" w:hAnsi="Calibri" w:cs="Calibri"/>
            <w:color w:val="0000FF"/>
          </w:rPr>
          <w:t>частью 3 статьи 25</w:t>
        </w:r>
      </w:hyperlink>
      <w:r w:rsidRPr="00431B03">
        <w:rPr>
          <w:rFonts w:ascii="Calibri" w:hAnsi="Calibri" w:cs="Calibri"/>
        </w:rPr>
        <w:t xml:space="preserve">, </w:t>
      </w:r>
      <w:hyperlink r:id="rId25" w:history="1">
        <w:r w:rsidRPr="00431B03">
          <w:rPr>
            <w:rFonts w:ascii="Calibri" w:hAnsi="Calibri" w:cs="Calibri"/>
            <w:color w:val="0000FF"/>
          </w:rPr>
          <w:t>частью 2</w:t>
        </w:r>
        <w:proofErr w:type="gramEnd"/>
        <w:r w:rsidRPr="00431B03">
          <w:rPr>
            <w:rFonts w:ascii="Calibri" w:hAnsi="Calibri" w:cs="Calibri"/>
            <w:color w:val="0000FF"/>
          </w:rPr>
          <w:t xml:space="preserve"> статьи 35</w:t>
        </w:r>
      </w:hyperlink>
      <w:r w:rsidRPr="00431B03">
        <w:rPr>
          <w:rFonts w:ascii="Calibri" w:hAnsi="Calibri" w:cs="Calibri"/>
        </w:rPr>
        <w:t xml:space="preserve"> Закона.</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gramStart"/>
      <w:r w:rsidRPr="00431B03">
        <w:rPr>
          <w:rFonts w:ascii="Calibri" w:hAnsi="Calibri" w:cs="Calibri"/>
        </w:rPr>
        <w:t>При этом Минэкономразвития России и ФАС России считают, что конкурсная или аукционная комиссия вправе отказать участнику в допуске к участию в торгах на основании непредставления в составе заявки платежного поручения (копии платежного поручения), а также в случае, если в представленном платежном поручении (копии платежного поручения) содержатся реквизиты заказчика и сведения о назначении платежа, не соответствующие указанным в документации о торгах</w:t>
      </w:r>
      <w:proofErr w:type="gramEnd"/>
      <w:r w:rsidRPr="00431B03">
        <w:rPr>
          <w:rFonts w:ascii="Calibri" w:hAnsi="Calibri" w:cs="Calibri"/>
        </w:rPr>
        <w:t xml:space="preserve">, а также в случае, если сумма платежа </w:t>
      </w:r>
      <w:proofErr w:type="gramStart"/>
      <w:r w:rsidRPr="00431B03">
        <w:rPr>
          <w:rFonts w:ascii="Calibri" w:hAnsi="Calibri" w:cs="Calibri"/>
        </w:rPr>
        <w:t>менее указанного</w:t>
      </w:r>
      <w:proofErr w:type="gramEnd"/>
      <w:r w:rsidRPr="00431B03">
        <w:rPr>
          <w:rFonts w:ascii="Calibri" w:hAnsi="Calibri" w:cs="Calibri"/>
        </w:rPr>
        <w:t xml:space="preserve"> в документации размера обеспечения заявки. </w:t>
      </w:r>
      <w:proofErr w:type="gramStart"/>
      <w:r w:rsidRPr="00431B03">
        <w:rPr>
          <w:rFonts w:ascii="Calibri" w:hAnsi="Calibri" w:cs="Calibri"/>
        </w:rPr>
        <w:t>В иных случаях отказ в допуске к участию в торгах в связи</w:t>
      </w:r>
      <w:proofErr w:type="gramEnd"/>
      <w:r w:rsidRPr="00431B03">
        <w:rPr>
          <w:rFonts w:ascii="Calibri" w:hAnsi="Calibri" w:cs="Calibri"/>
        </w:rPr>
        <w:t xml:space="preserve"> с непредставлением или представлением в составе заявки ненадлежащего платежного поручения (копии платежного поручения) будет являться нарушением </w:t>
      </w:r>
      <w:hyperlink r:id="rId26" w:history="1">
        <w:r w:rsidRPr="00431B03">
          <w:rPr>
            <w:rFonts w:ascii="Calibri" w:hAnsi="Calibri" w:cs="Calibri"/>
            <w:color w:val="0000FF"/>
          </w:rPr>
          <w:t>части 2 статьи 12</w:t>
        </w:r>
      </w:hyperlink>
      <w:r w:rsidRPr="00431B03">
        <w:rPr>
          <w:rFonts w:ascii="Calibri" w:hAnsi="Calibri" w:cs="Calibri"/>
        </w:rPr>
        <w:t xml:space="preserve"> Закона.</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gramStart"/>
      <w:r w:rsidRPr="00431B03">
        <w:rPr>
          <w:rFonts w:ascii="Calibri" w:hAnsi="Calibri" w:cs="Calibri"/>
        </w:rPr>
        <w:t xml:space="preserve">Минэкономразвития России и ФАС России считают, что в случае </w:t>
      </w:r>
      <w:proofErr w:type="spellStart"/>
      <w:r w:rsidRPr="00431B03">
        <w:rPr>
          <w:rFonts w:ascii="Calibri" w:hAnsi="Calibri" w:cs="Calibri"/>
        </w:rPr>
        <w:t>непоступления</w:t>
      </w:r>
      <w:proofErr w:type="spellEnd"/>
      <w:r w:rsidRPr="00431B03">
        <w:rPr>
          <w:rFonts w:ascii="Calibri" w:hAnsi="Calibri" w:cs="Calibri"/>
        </w:rPr>
        <w:t xml:space="preserve"> в течение пяти рабочих дней со дня окончания срока подачи заявок на участие в торгах средств в качестве обеспечения таких заявок на счет, реквизиты которого указаны в документации о торгах, или поступления таких средств в объеме, не соответствующем указанному в документации о торгах, заказчик, уполномоченный орган, конкурсная или аукционная комиссия</w:t>
      </w:r>
      <w:proofErr w:type="gramEnd"/>
      <w:r w:rsidRPr="00431B03">
        <w:rPr>
          <w:rFonts w:ascii="Calibri" w:hAnsi="Calibri" w:cs="Calibri"/>
        </w:rPr>
        <w:t xml:space="preserve"> обязаны отклонить участника размещения заказа от участия в торгах по основаниям, предусмотренным </w:t>
      </w:r>
      <w:hyperlink r:id="rId27" w:history="1">
        <w:r w:rsidRPr="00431B03">
          <w:rPr>
            <w:rFonts w:ascii="Calibri" w:hAnsi="Calibri" w:cs="Calibri"/>
            <w:color w:val="0000FF"/>
          </w:rPr>
          <w:t>частью 4 статьи 12</w:t>
        </w:r>
      </w:hyperlink>
      <w:r w:rsidRPr="00431B03">
        <w:rPr>
          <w:rFonts w:ascii="Calibri" w:hAnsi="Calibri" w:cs="Calibri"/>
        </w:rPr>
        <w:t xml:space="preserve"> Закона. Также участник размещения заказа должен быть отклонен от участия в торгах на основании </w:t>
      </w:r>
      <w:hyperlink r:id="rId28" w:history="1">
        <w:r w:rsidRPr="00431B03">
          <w:rPr>
            <w:rFonts w:ascii="Calibri" w:hAnsi="Calibri" w:cs="Calibri"/>
            <w:color w:val="0000FF"/>
          </w:rPr>
          <w:t>части 4 статьи 12</w:t>
        </w:r>
      </w:hyperlink>
      <w:r w:rsidRPr="00431B03">
        <w:rPr>
          <w:rFonts w:ascii="Calibri" w:hAnsi="Calibri" w:cs="Calibri"/>
        </w:rPr>
        <w:t xml:space="preserve"> Закона в случае, если денежные средства в качестве обеспечения заявки на участие в торгах поступили на счет по платежному поручению, иному, чем представленное в заявке.</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lastRenderedPageBreak/>
        <w:t xml:space="preserve">4. В соответствии с положениями </w:t>
      </w:r>
      <w:hyperlink r:id="rId29" w:history="1">
        <w:r w:rsidRPr="00431B03">
          <w:rPr>
            <w:rFonts w:ascii="Calibri" w:hAnsi="Calibri" w:cs="Calibri"/>
            <w:color w:val="0000FF"/>
          </w:rPr>
          <w:t>Закона</w:t>
        </w:r>
      </w:hyperlink>
      <w:r w:rsidRPr="00431B03">
        <w:rPr>
          <w:rFonts w:ascii="Calibri" w:hAnsi="Calibri" w:cs="Calibri"/>
        </w:rPr>
        <w:t xml:space="preserve"> цена заключаемого контракта, в том числе контракта на выполнение работ по строительству и реконструкции, капитальному ремонту, определяется по итогам проведения торгов. В связи с изложенным Минэкономразвития России и ФАС России разъясняют следующее.</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После определения победителя торгов на выполнение работ заказчик рассчитывает коэффициент снижения начальной (максимальной) цены контракта к цене контракта, предложенной победителем в ходе проведения торгов. Итоговая цена контракта пересчитывается с учетом указанного коэффициента. В случае</w:t>
      </w:r>
      <w:proofErr w:type="gramStart"/>
      <w:r w:rsidRPr="00431B03">
        <w:rPr>
          <w:rFonts w:ascii="Calibri" w:hAnsi="Calibri" w:cs="Calibri"/>
        </w:rPr>
        <w:t>,</w:t>
      </w:r>
      <w:proofErr w:type="gramEnd"/>
      <w:r w:rsidRPr="00431B03">
        <w:rPr>
          <w:rFonts w:ascii="Calibri" w:hAnsi="Calibri" w:cs="Calibri"/>
        </w:rPr>
        <w:t xml:space="preserve"> если контрактом предусмотрено несколько этапов его исполнения, то итоговая стоимость каждого из этапов должна быть пересчитана с применением указанного коэффициента, то есть итоговая стоимость каждого из этапов выполнения работ рассчитывается пропорционально коэффициенту снижения начальной (максимальной) цены контракта, полученного в ходе проведения торгов. Полученная итоговая стоимость этапов выполнения контракта и общая итоговая цена контракта вносятся в проект государственного (муниципального) контракта, направляемого победителю торгов. При этом общая итоговая цена контракта должна соответствовать предложению о цене контракта победителя торгов.</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Государственный (</w:t>
      </w:r>
      <w:r w:rsidRPr="00A51C7E">
        <w:rPr>
          <w:rFonts w:ascii="Calibri" w:hAnsi="Calibri" w:cs="Calibri"/>
          <w:highlight w:val="yellow"/>
        </w:rPr>
        <w:t>муниципальный) контракт, заключаемый по итогам проведения торгов, должен содержать перечень работ, установленных заказчиком, а также итоговую цену контракта</w:t>
      </w:r>
      <w:r w:rsidRPr="00431B03">
        <w:rPr>
          <w:rFonts w:ascii="Calibri" w:hAnsi="Calibri" w:cs="Calibri"/>
        </w:rPr>
        <w:t xml:space="preserve"> (итоговую стоимость этапов выполнения контракта), определенную указанным выше способом по итогам торгов. </w:t>
      </w:r>
      <w:r w:rsidRPr="00431B03">
        <w:rPr>
          <w:rFonts w:ascii="Calibri" w:hAnsi="Calibri" w:cs="Calibri"/>
          <w:highlight w:val="yellow"/>
        </w:rPr>
        <w:t>При этом установленная в контракте стоимость оплаты выполнения работ не соотносится с фактическими расходами победителя торгов на выполнение конкретных работ и является обязательством заказчика оплатить контракт (этапы выполнения контракта) в установленном размере при надлежащем его исполнении.</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Пример:</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Начальная цена контракта составляет 1 000 </w:t>
      </w:r>
      <w:proofErr w:type="spellStart"/>
      <w:r w:rsidRPr="00431B03">
        <w:rPr>
          <w:rFonts w:ascii="Calibri" w:hAnsi="Calibri" w:cs="Calibri"/>
        </w:rPr>
        <w:t>000</w:t>
      </w:r>
      <w:proofErr w:type="spellEnd"/>
      <w:r w:rsidRPr="00431B03">
        <w:rPr>
          <w:rFonts w:ascii="Calibri" w:hAnsi="Calibri" w:cs="Calibri"/>
        </w:rPr>
        <w:t xml:space="preserve"> рублей. При этом контрактом предусмотрено 3 этапа выполнения работ.</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Стоимость 1 этапа составляет 500 000 рублей, 2 этапа - 300 000 рублей, а 3 этапа - 200 000 рублей.</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В ходе проведения торгов победителем предложена цена 800 000 рублей. Следовательно, коэффициент снижения составляет 800 000 / 1 000 </w:t>
      </w:r>
      <w:proofErr w:type="spellStart"/>
      <w:r w:rsidRPr="00431B03">
        <w:rPr>
          <w:rFonts w:ascii="Calibri" w:hAnsi="Calibri" w:cs="Calibri"/>
        </w:rPr>
        <w:t>000</w:t>
      </w:r>
      <w:proofErr w:type="spellEnd"/>
      <w:r w:rsidRPr="00431B03">
        <w:rPr>
          <w:rFonts w:ascii="Calibri" w:hAnsi="Calibri" w:cs="Calibri"/>
        </w:rPr>
        <w:t xml:space="preserve"> = 0,8.</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Итоговая стоимость этапов выполнения работ в указанном случае должна быть пересчитана следующим образом:</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Итоговая стоимость 1 этапа 500 000 </w:t>
      </w:r>
      <w:proofErr w:type="spellStart"/>
      <w:r w:rsidRPr="00431B03">
        <w:rPr>
          <w:rFonts w:ascii="Calibri" w:hAnsi="Calibri" w:cs="Calibri"/>
        </w:rPr>
        <w:t>x</w:t>
      </w:r>
      <w:proofErr w:type="spellEnd"/>
      <w:r w:rsidRPr="00431B03">
        <w:rPr>
          <w:rFonts w:ascii="Calibri" w:hAnsi="Calibri" w:cs="Calibri"/>
        </w:rPr>
        <w:t xml:space="preserve"> 0,8 = 400 000 рублей.</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Итоговая стоимость 2 этапа 300 000 </w:t>
      </w:r>
      <w:proofErr w:type="spellStart"/>
      <w:r w:rsidRPr="00431B03">
        <w:rPr>
          <w:rFonts w:ascii="Calibri" w:hAnsi="Calibri" w:cs="Calibri"/>
        </w:rPr>
        <w:t>x</w:t>
      </w:r>
      <w:proofErr w:type="spellEnd"/>
      <w:r w:rsidRPr="00431B03">
        <w:rPr>
          <w:rFonts w:ascii="Calibri" w:hAnsi="Calibri" w:cs="Calibri"/>
        </w:rPr>
        <w:t xml:space="preserve"> 0,8 = 240 000 рублей.</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 xml:space="preserve">Итоговая стоимость 3 этапа 200 000 </w:t>
      </w:r>
      <w:proofErr w:type="spellStart"/>
      <w:r w:rsidRPr="00431B03">
        <w:rPr>
          <w:rFonts w:ascii="Calibri" w:hAnsi="Calibri" w:cs="Calibri"/>
        </w:rPr>
        <w:t>x</w:t>
      </w:r>
      <w:proofErr w:type="spellEnd"/>
      <w:r w:rsidRPr="00431B03">
        <w:rPr>
          <w:rFonts w:ascii="Calibri" w:hAnsi="Calibri" w:cs="Calibri"/>
        </w:rPr>
        <w:t xml:space="preserve"> 0,8 = 160 000 рублей.</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Общая итоговая цена контракта - 800 000 рублей.</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Полученные итоговые стоимости каждого из этапов выполнения работ, а также итоговая цена контракта должны быть внесены в проект контракта, направляемого победителю торгов.</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gramStart"/>
      <w:r w:rsidRPr="00431B03">
        <w:rPr>
          <w:rFonts w:ascii="Calibri" w:hAnsi="Calibri" w:cs="Calibri"/>
        </w:rPr>
        <w:t>Минэкономразвития России и ФАС России обращают внимание, что в случае, если конкурсная документация не содержит указание на вышеуказанный порядок расчета итоговой цены контракта (этапов выполнения контракта), а участник размещения заказа в заявке на участие в конкурсе указал свое предложение о стоимости каждого этапа выполнения контракта, не превышающей стоимости такого этапа, указанной в конкурсной документации, то в проект контракта вносится итоговая</w:t>
      </w:r>
      <w:proofErr w:type="gramEnd"/>
      <w:r w:rsidRPr="00431B03">
        <w:rPr>
          <w:rFonts w:ascii="Calibri" w:hAnsi="Calibri" w:cs="Calibri"/>
        </w:rPr>
        <w:t xml:space="preserve"> цена контракта с указанием стоимости этапов выполнения контракта, указанной в заявке на участие в конкурсе участником размещения заказа.</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r w:rsidRPr="00431B03">
        <w:rPr>
          <w:rFonts w:ascii="Calibri" w:hAnsi="Calibri" w:cs="Calibri"/>
        </w:rPr>
        <w:t>Минэкономразвития России и ФАС России также обращают внимание, что заказчик в конкурсной документации не вправе устанавливать требование о предоставлении участниками размещения заказа в составе заявки расчета цены контракта (этапов выполнения контракта). Участник размещения заказа в составе заявки указывает только предлагаемую им цену контракта без указания стоимости этапов выполнения контракта.</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roofErr w:type="gramStart"/>
      <w:r w:rsidRPr="00431B03">
        <w:rPr>
          <w:rFonts w:ascii="Calibri" w:hAnsi="Calibri" w:cs="Calibri"/>
        </w:rPr>
        <w:t>В целях обеспечения надлежащего исполнения контракта при отнесении участником размещения заказа максимальной суммы снижения цены контракта на последний этап выполнения контракта Минэкономразвития России и ФАС России рекомендуют устанавливать в конкурсной документации требование об обеспечении исполнения контракта, а также порядок снижения итоговой цены контракта (этапов выполнения контракта) пропорционально коэффициенту снижения начальной (максимальной) цены контракта, полученному в ходе проведения торгов.</w:t>
      </w:r>
      <w:proofErr w:type="gramEnd"/>
    </w:p>
    <w:p w:rsidR="00431B03" w:rsidRPr="00431B03" w:rsidRDefault="00431B03" w:rsidP="00431B03">
      <w:pPr>
        <w:autoSpaceDE w:val="0"/>
        <w:autoSpaceDN w:val="0"/>
        <w:adjustRightInd w:val="0"/>
        <w:spacing w:after="0" w:line="240" w:lineRule="auto"/>
        <w:ind w:firstLine="540"/>
        <w:jc w:val="both"/>
        <w:rPr>
          <w:rFonts w:ascii="Calibri" w:hAnsi="Calibri" w:cs="Calibri"/>
        </w:rPr>
      </w:pP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Статс-секретарь -</w:t>
      </w: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заместитель Министра</w:t>
      </w: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экономического развития</w:t>
      </w: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Российской Федерации</w:t>
      </w: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А.В.ПОПОВА</w:t>
      </w:r>
    </w:p>
    <w:p w:rsidR="00431B03" w:rsidRPr="00431B03" w:rsidRDefault="00431B03" w:rsidP="00431B03">
      <w:pPr>
        <w:autoSpaceDE w:val="0"/>
        <w:autoSpaceDN w:val="0"/>
        <w:adjustRightInd w:val="0"/>
        <w:spacing w:after="0" w:line="240" w:lineRule="auto"/>
        <w:jc w:val="right"/>
        <w:rPr>
          <w:rFonts w:ascii="Calibri" w:hAnsi="Calibri" w:cs="Calibri"/>
        </w:rPr>
      </w:pP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Руководитель</w:t>
      </w: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Федеральной антимонопольной службы</w:t>
      </w:r>
    </w:p>
    <w:p w:rsidR="00431B03" w:rsidRPr="00431B03" w:rsidRDefault="00431B03" w:rsidP="00431B03">
      <w:pPr>
        <w:autoSpaceDE w:val="0"/>
        <w:autoSpaceDN w:val="0"/>
        <w:adjustRightInd w:val="0"/>
        <w:spacing w:after="0" w:line="240" w:lineRule="auto"/>
        <w:jc w:val="right"/>
        <w:rPr>
          <w:rFonts w:ascii="Calibri" w:hAnsi="Calibri" w:cs="Calibri"/>
        </w:rPr>
      </w:pPr>
      <w:r w:rsidRPr="00431B03">
        <w:rPr>
          <w:rFonts w:ascii="Calibri" w:hAnsi="Calibri" w:cs="Calibri"/>
        </w:rPr>
        <w:t>И.Ю.АРТЕМЬЕВ</w:t>
      </w:r>
    </w:p>
    <w:p w:rsidR="00431B03" w:rsidRPr="00431B03" w:rsidRDefault="00431B03" w:rsidP="00431B03">
      <w:pPr>
        <w:autoSpaceDE w:val="0"/>
        <w:autoSpaceDN w:val="0"/>
        <w:adjustRightInd w:val="0"/>
        <w:spacing w:after="0" w:line="240" w:lineRule="auto"/>
        <w:ind w:firstLine="540"/>
        <w:jc w:val="both"/>
        <w:rPr>
          <w:rFonts w:ascii="Calibri" w:hAnsi="Calibri" w:cs="Calibri"/>
        </w:rPr>
      </w:pPr>
    </w:p>
    <w:p w:rsidR="00431B03" w:rsidRDefault="00431B03" w:rsidP="00431B03">
      <w:pPr>
        <w:pStyle w:val="ConsPlusTitle"/>
        <w:jc w:val="center"/>
      </w:pPr>
      <w:r>
        <w:t>МИНИСТЕРСТВО РЕГИОНАЛЬНОГО РАЗВИТИЯ РОССИЙСКОЙ ФЕДЕРАЦИИ</w:t>
      </w:r>
    </w:p>
    <w:p w:rsidR="00431B03" w:rsidRDefault="00431B03" w:rsidP="00431B03">
      <w:pPr>
        <w:pStyle w:val="ConsPlusTitle"/>
        <w:jc w:val="center"/>
        <w:outlineLvl w:val="0"/>
      </w:pPr>
    </w:p>
    <w:p w:rsidR="00431B03" w:rsidRDefault="00431B03" w:rsidP="00431B03">
      <w:pPr>
        <w:pStyle w:val="ConsPlusTitle"/>
        <w:jc w:val="center"/>
      </w:pPr>
      <w:r>
        <w:t>ПИСЬМО</w:t>
      </w:r>
    </w:p>
    <w:p w:rsidR="00431B03" w:rsidRDefault="00431B03" w:rsidP="00431B03">
      <w:pPr>
        <w:pStyle w:val="ConsPlusTitle"/>
        <w:jc w:val="center"/>
      </w:pPr>
      <w:r>
        <w:t>от 5 июля 2011 г. N 17697-ИП/08</w:t>
      </w:r>
    </w:p>
    <w:p w:rsidR="00431B03" w:rsidRDefault="00431B03" w:rsidP="00431B03">
      <w:pPr>
        <w:pStyle w:val="ConsPlusNormal"/>
        <w:ind w:firstLine="0"/>
        <w:jc w:val="center"/>
      </w:pPr>
    </w:p>
    <w:p w:rsidR="00431B03" w:rsidRDefault="00431B03" w:rsidP="00431B03">
      <w:pPr>
        <w:pStyle w:val="ConsPlusNormal"/>
        <w:ind w:firstLine="540"/>
        <w:jc w:val="both"/>
      </w:pPr>
      <w:r>
        <w:t>Министерством регионального развития Российской Федерации рассмотрено обращение и сообщается следующее.</w:t>
      </w:r>
    </w:p>
    <w:p w:rsidR="00431B03" w:rsidRDefault="00431B03" w:rsidP="00431B03">
      <w:pPr>
        <w:pStyle w:val="ConsPlusNormal"/>
        <w:ind w:firstLine="540"/>
        <w:jc w:val="both"/>
      </w:pPr>
      <w:proofErr w:type="gramStart"/>
      <w:r>
        <w:t xml:space="preserve">Согласно </w:t>
      </w:r>
      <w:hyperlink r:id="rId30" w:history="1">
        <w:r>
          <w:rPr>
            <w:color w:val="0000FF"/>
          </w:rPr>
          <w:t>п. 4.1 статьи 9</w:t>
        </w:r>
      </w:hyperlink>
      <w:r>
        <w:t xml:space="preserve"> Федерального закона от 21.06.2005 N 94-ФЗ "О размещении заказов на поставку товаров, выполнение работ, оказание услуг для государственных и муниципальных нужд" (далее - Федеральный закон) цена государственного или муниципального контракта является твердой и не может изменяться в ходе его исполнения, за исключением случаев заключения контракта на основании </w:t>
      </w:r>
      <w:hyperlink r:id="rId31" w:history="1">
        <w:r>
          <w:rPr>
            <w:color w:val="0000FF"/>
          </w:rPr>
          <w:t>пункта 2.1 части 2 статьи 55</w:t>
        </w:r>
      </w:hyperlink>
      <w:r>
        <w:t>, а также случаев</w:t>
      </w:r>
      <w:proofErr w:type="gramEnd"/>
      <w:r>
        <w:t xml:space="preserve">, </w:t>
      </w:r>
      <w:proofErr w:type="gramStart"/>
      <w:r>
        <w:t>установленных</w:t>
      </w:r>
      <w:proofErr w:type="gramEnd"/>
      <w:r>
        <w:t xml:space="preserve"> </w:t>
      </w:r>
      <w:hyperlink r:id="rId32" w:history="1">
        <w:r>
          <w:rPr>
            <w:color w:val="0000FF"/>
          </w:rPr>
          <w:t>частями 4.2</w:t>
        </w:r>
      </w:hyperlink>
      <w:r>
        <w:t xml:space="preserve">, </w:t>
      </w:r>
      <w:hyperlink r:id="rId33" w:history="1">
        <w:r>
          <w:rPr>
            <w:color w:val="0000FF"/>
          </w:rPr>
          <w:t>6</w:t>
        </w:r>
      </w:hyperlink>
      <w:r>
        <w:t xml:space="preserve">, </w:t>
      </w:r>
      <w:hyperlink r:id="rId34" w:history="1">
        <w:r>
          <w:rPr>
            <w:color w:val="0000FF"/>
          </w:rPr>
          <w:t>6.2</w:t>
        </w:r>
      </w:hyperlink>
      <w:r>
        <w:t xml:space="preserve"> - </w:t>
      </w:r>
      <w:hyperlink r:id="rId35" w:history="1">
        <w:r>
          <w:rPr>
            <w:color w:val="0000FF"/>
          </w:rPr>
          <w:t>6.4 статьи 9</w:t>
        </w:r>
      </w:hyperlink>
      <w:r>
        <w:t xml:space="preserve"> указанного Федерального закона.</w:t>
      </w:r>
    </w:p>
    <w:p w:rsidR="00431B03" w:rsidRDefault="00431B03" w:rsidP="00431B03">
      <w:pPr>
        <w:pStyle w:val="ConsPlusNormal"/>
        <w:ind w:firstLine="540"/>
        <w:jc w:val="both"/>
      </w:pPr>
      <w:r>
        <w:t xml:space="preserve">В соответствии с </w:t>
      </w:r>
      <w:hyperlink r:id="rId36" w:history="1">
        <w:r>
          <w:rPr>
            <w:color w:val="0000FF"/>
          </w:rPr>
          <w:t>пунктом 1 статьи 6</w:t>
        </w:r>
      </w:hyperlink>
      <w:r>
        <w:t xml:space="preserve"> Федерального закона, определение начальной (максимальной) цены государственного или муниципального контракта осуществляется заказчиком строительства.</w:t>
      </w:r>
    </w:p>
    <w:p w:rsidR="00431B03" w:rsidRDefault="00431B03" w:rsidP="00431B03">
      <w:pPr>
        <w:pStyle w:val="ConsPlusNormal"/>
        <w:ind w:firstLine="540"/>
        <w:jc w:val="both"/>
      </w:pPr>
      <w:r>
        <w:t>При этом цена заключаемого контракта определяется по итогам проведения торгов.</w:t>
      </w:r>
    </w:p>
    <w:p w:rsidR="00431B03" w:rsidRDefault="00431B03" w:rsidP="00431B03">
      <w:pPr>
        <w:pStyle w:val="ConsPlusNormal"/>
        <w:ind w:firstLine="540"/>
        <w:jc w:val="both"/>
      </w:pPr>
      <w:proofErr w:type="gramStart"/>
      <w:r>
        <w:t xml:space="preserve">Если в контрактной цене учтен резерв средства на непредвиденные работы и затраты, то в соответствии с </w:t>
      </w:r>
      <w:hyperlink r:id="rId37" w:history="1">
        <w:r>
          <w:rPr>
            <w:color w:val="0000FF"/>
          </w:rPr>
          <w:t>пунктом 4.96</w:t>
        </w:r>
      </w:hyperlink>
      <w:r>
        <w:t xml:space="preserve"> Методики определения стоимости строительной продукции на территории Российской Федерации (МДС 81-35.2004), утвержденной Постановлением Госстроя России от 05.03.2004 N 15/1, при расчетах за выполненные работы по договорам с установленной твердой договорной ценой</w:t>
      </w:r>
      <w:r w:rsidRPr="00431B03">
        <w:rPr>
          <w:highlight w:val="yellow"/>
        </w:rPr>
        <w:t>, резерв средств на непредвиденные работы и затраты в актах приемки</w:t>
      </w:r>
      <w:proofErr w:type="gramEnd"/>
      <w:r w:rsidRPr="00431B03">
        <w:rPr>
          <w:highlight w:val="yellow"/>
        </w:rPr>
        <w:t xml:space="preserve"> выполненных работ не расшифровывается и оплачивается заказчиком по норме, согласованной при формировании договорной цены.</w:t>
      </w:r>
    </w:p>
    <w:p w:rsidR="00431B03" w:rsidRDefault="00431B03" w:rsidP="00431B03">
      <w:pPr>
        <w:pStyle w:val="ConsPlusNormal"/>
        <w:ind w:firstLine="540"/>
        <w:jc w:val="both"/>
      </w:pPr>
      <w:proofErr w:type="gramStart"/>
      <w:r>
        <w:t>Одновременно сообщаем, что в соответствии с разъяснениями Минэкономразвития России (</w:t>
      </w:r>
      <w:hyperlink r:id="rId38" w:history="1">
        <w:r>
          <w:rPr>
            <w:color w:val="0000FF"/>
          </w:rPr>
          <w:t>письмо</w:t>
        </w:r>
      </w:hyperlink>
      <w:r>
        <w:t xml:space="preserve"> от 19 августа 2009 года N 13613-АП/Д05) и ФАС России (</w:t>
      </w:r>
      <w:hyperlink r:id="rId39" w:history="1">
        <w:r>
          <w:rPr>
            <w:color w:val="0000FF"/>
          </w:rPr>
          <w:t>письмо</w:t>
        </w:r>
      </w:hyperlink>
      <w:r>
        <w:t xml:space="preserve"> от 18 августа 2009 года N ИА/27690) установленная в контракте стоимость оплаты выполнения работ не соотносится с фактическими расходами победителя торгов на выполнение конкретных работ и является обязательством заказчика оплатить контракт (этапы выполнения контракта) в установленном размере</w:t>
      </w:r>
      <w:proofErr w:type="gramEnd"/>
      <w:r>
        <w:t xml:space="preserve"> при надлежащем его исполнении.</w:t>
      </w:r>
    </w:p>
    <w:p w:rsidR="00431B03" w:rsidRDefault="00431B03" w:rsidP="00431B03">
      <w:pPr>
        <w:pStyle w:val="ConsPlusNormal"/>
        <w:ind w:firstLine="540"/>
        <w:jc w:val="both"/>
      </w:pPr>
    </w:p>
    <w:p w:rsidR="00431B03" w:rsidRDefault="00431B03" w:rsidP="00431B03">
      <w:pPr>
        <w:pStyle w:val="ConsPlusNormal"/>
        <w:ind w:firstLine="0"/>
        <w:jc w:val="right"/>
      </w:pPr>
      <w:r>
        <w:t>Директор Департамента</w:t>
      </w:r>
    </w:p>
    <w:p w:rsidR="00431B03" w:rsidRDefault="00431B03" w:rsidP="00431B03">
      <w:pPr>
        <w:pStyle w:val="ConsPlusNormal"/>
        <w:ind w:firstLine="0"/>
        <w:jc w:val="right"/>
      </w:pPr>
      <w:r>
        <w:t>архитектуры, строительства</w:t>
      </w:r>
    </w:p>
    <w:p w:rsidR="00431B03" w:rsidRDefault="00431B03" w:rsidP="00431B03">
      <w:pPr>
        <w:pStyle w:val="ConsPlusNormal"/>
        <w:ind w:firstLine="0"/>
        <w:jc w:val="right"/>
      </w:pPr>
      <w:r>
        <w:t>и градостроительной политики</w:t>
      </w:r>
    </w:p>
    <w:p w:rsidR="00431B03" w:rsidRDefault="00431B03" w:rsidP="00431B03">
      <w:pPr>
        <w:pStyle w:val="ConsPlusNormal"/>
        <w:ind w:firstLine="0"/>
        <w:jc w:val="right"/>
      </w:pPr>
      <w:r>
        <w:t>И.В.ПОНОМАРЕВ</w:t>
      </w:r>
    </w:p>
    <w:p w:rsidR="003D74BF" w:rsidRDefault="003D74BF" w:rsidP="003D74BF">
      <w:pPr>
        <w:autoSpaceDE w:val="0"/>
        <w:autoSpaceDN w:val="0"/>
        <w:adjustRightInd w:val="0"/>
        <w:spacing w:after="0" w:line="240" w:lineRule="auto"/>
        <w:ind w:firstLine="540"/>
        <w:jc w:val="both"/>
        <w:outlineLvl w:val="0"/>
        <w:rPr>
          <w:rFonts w:ascii="Times New Roman" w:hAnsi="Times New Roman" w:cs="Times New Roman"/>
          <w:b/>
          <w:bCs/>
        </w:rPr>
      </w:pPr>
      <w:r>
        <w:rPr>
          <w:rFonts w:ascii="Times New Roman" w:hAnsi="Times New Roman" w:cs="Times New Roman"/>
          <w:b/>
          <w:bCs/>
        </w:rPr>
        <w:t xml:space="preserve">Гражданский кодекс РФ </w:t>
      </w:r>
    </w:p>
    <w:p w:rsidR="003D74BF" w:rsidRPr="003D74BF" w:rsidRDefault="003D74BF" w:rsidP="003D74BF">
      <w:pPr>
        <w:autoSpaceDE w:val="0"/>
        <w:autoSpaceDN w:val="0"/>
        <w:adjustRightInd w:val="0"/>
        <w:spacing w:after="0" w:line="240" w:lineRule="auto"/>
        <w:ind w:firstLine="540"/>
        <w:jc w:val="both"/>
        <w:outlineLvl w:val="0"/>
        <w:rPr>
          <w:rFonts w:ascii="Times New Roman" w:hAnsi="Times New Roman" w:cs="Times New Roman"/>
          <w:b/>
          <w:bCs/>
        </w:rPr>
      </w:pPr>
      <w:r w:rsidRPr="003D74BF">
        <w:rPr>
          <w:rFonts w:ascii="Times New Roman" w:hAnsi="Times New Roman" w:cs="Times New Roman"/>
          <w:b/>
          <w:bCs/>
        </w:rPr>
        <w:t>Статья 710. Экономия подрядчика</w:t>
      </w:r>
    </w:p>
    <w:p w:rsidR="003D74BF" w:rsidRPr="003D74BF" w:rsidRDefault="003D74BF" w:rsidP="003D74BF">
      <w:pPr>
        <w:autoSpaceDE w:val="0"/>
        <w:autoSpaceDN w:val="0"/>
        <w:adjustRightInd w:val="0"/>
        <w:spacing w:after="0" w:line="240" w:lineRule="auto"/>
        <w:jc w:val="both"/>
        <w:rPr>
          <w:rFonts w:ascii="Times New Roman" w:hAnsi="Times New Roman" w:cs="Times New Roman"/>
          <w:b/>
          <w:bCs/>
        </w:rPr>
      </w:pPr>
    </w:p>
    <w:p w:rsidR="003D74BF" w:rsidRPr="003D74BF" w:rsidRDefault="003D74BF" w:rsidP="003D74BF">
      <w:pPr>
        <w:autoSpaceDE w:val="0"/>
        <w:autoSpaceDN w:val="0"/>
        <w:adjustRightInd w:val="0"/>
        <w:spacing w:after="0" w:line="240" w:lineRule="auto"/>
        <w:ind w:firstLine="540"/>
        <w:jc w:val="both"/>
        <w:rPr>
          <w:rFonts w:ascii="Times New Roman" w:hAnsi="Times New Roman" w:cs="Times New Roman"/>
          <w:b/>
          <w:bCs/>
        </w:rPr>
      </w:pPr>
      <w:r w:rsidRPr="003D74BF">
        <w:rPr>
          <w:rFonts w:ascii="Times New Roman" w:hAnsi="Times New Roman" w:cs="Times New Roman"/>
          <w:b/>
          <w:bCs/>
        </w:rP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3D74BF" w:rsidRPr="003D74BF" w:rsidRDefault="003D74BF" w:rsidP="003D74BF">
      <w:pPr>
        <w:autoSpaceDE w:val="0"/>
        <w:autoSpaceDN w:val="0"/>
        <w:adjustRightInd w:val="0"/>
        <w:spacing w:after="0" w:line="240" w:lineRule="auto"/>
        <w:ind w:firstLine="540"/>
        <w:jc w:val="both"/>
        <w:rPr>
          <w:rFonts w:ascii="Times New Roman" w:hAnsi="Times New Roman" w:cs="Times New Roman"/>
          <w:b/>
          <w:bCs/>
        </w:rPr>
      </w:pPr>
      <w:r w:rsidRPr="003D74BF">
        <w:rPr>
          <w:rFonts w:ascii="Times New Roman" w:hAnsi="Times New Roman" w:cs="Times New Roman"/>
          <w:b/>
          <w:bCs/>
        </w:rPr>
        <w:t>2. В договоре подряда может быть предусмотрено распределение полученной подрядчиком экономии между сторонами.</w:t>
      </w:r>
    </w:p>
    <w:p w:rsidR="00231966" w:rsidRPr="003D74BF" w:rsidRDefault="00A51C7E" w:rsidP="003D74BF">
      <w:pPr>
        <w:rPr>
          <w:b/>
        </w:rPr>
      </w:pPr>
    </w:p>
    <w:sectPr w:rsidR="00231966" w:rsidRPr="003D74BF" w:rsidSect="00551237">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40A4"/>
    <w:rsid w:val="00031E95"/>
    <w:rsid w:val="0006030D"/>
    <w:rsid w:val="003D74BF"/>
    <w:rsid w:val="00431B03"/>
    <w:rsid w:val="005E1C2F"/>
    <w:rsid w:val="006457F3"/>
    <w:rsid w:val="009217F9"/>
    <w:rsid w:val="00A140A4"/>
    <w:rsid w:val="00A51C7E"/>
    <w:rsid w:val="00E634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C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40A4"/>
    <w:pPr>
      <w:autoSpaceDE w:val="0"/>
      <w:autoSpaceDN w:val="0"/>
      <w:adjustRightInd w:val="0"/>
      <w:spacing w:after="0" w:line="240" w:lineRule="auto"/>
      <w:ind w:firstLine="720"/>
    </w:pPr>
    <w:rPr>
      <w:rFonts w:ascii="Arial" w:hAnsi="Arial" w:cs="Arial"/>
      <w:sz w:val="20"/>
      <w:szCs w:val="20"/>
    </w:rPr>
  </w:style>
  <w:style w:type="paragraph" w:customStyle="1" w:styleId="ConsPlusTitle">
    <w:name w:val="ConsPlusTitle"/>
    <w:uiPriority w:val="99"/>
    <w:rsid w:val="00A140A4"/>
    <w:pPr>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431B03"/>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8B2BC319ACDE0AEEADEFA5054FB7A459933274EE6E8043228FDD998089C5BE3173BD10NDk5F" TargetMode="External"/><Relationship Id="rId13" Type="http://schemas.openxmlformats.org/officeDocument/2006/relationships/hyperlink" Target="consultantplus://offline/ref=B28B2BC319ACDE0AEEADEFA5054FB7A459933274EE6E8043228FDD998089C5BE3173BD10NDk5F" TargetMode="External"/><Relationship Id="rId18" Type="http://schemas.openxmlformats.org/officeDocument/2006/relationships/hyperlink" Target="consultantplus://offline/ref=B28B2BC319ACDE0AEEADEFA5054FB7A459933274EE6E8043228FDD998089C5BE3173BD10D2NEk1F" TargetMode="External"/><Relationship Id="rId26" Type="http://schemas.openxmlformats.org/officeDocument/2006/relationships/hyperlink" Target="consultantplus://offline/ref=B28B2BC319ACDE0AEEADEFA5054FB7A459933274EE6E8043228FDD998089C5BE3173BD12D7E25D53N0kCF" TargetMode="External"/><Relationship Id="rId39" Type="http://schemas.openxmlformats.org/officeDocument/2006/relationships/hyperlink" Target="consultantplus://offline/ref=B75A62C566DB682A15430059A4788E0C2CB170F2FD8CACFB599BBC9E512DE" TargetMode="External"/><Relationship Id="rId3" Type="http://schemas.openxmlformats.org/officeDocument/2006/relationships/webSettings" Target="webSettings.xml"/><Relationship Id="rId21" Type="http://schemas.openxmlformats.org/officeDocument/2006/relationships/hyperlink" Target="consultantplus://offline/ref=B28B2BC319ACDE0AEEADEFA5054FB7A459933274EE6E8043228FDD998089C5BE3173BD10D2NEk6F" TargetMode="External"/><Relationship Id="rId34" Type="http://schemas.openxmlformats.org/officeDocument/2006/relationships/hyperlink" Target="consultantplus://offline/ref=B75A62C566DB682A15430059A4788E0C24B376FFFA8EF1F151C2B09C1AD33465388762BB365321E" TargetMode="External"/><Relationship Id="rId7" Type="http://schemas.openxmlformats.org/officeDocument/2006/relationships/hyperlink" Target="consultantplus://offline/ref=B28B2BC319ACDE0AEEADEFA5054FB7A459933274EE6E8043228FDD9980N8k9F" TargetMode="External"/><Relationship Id="rId12" Type="http://schemas.openxmlformats.org/officeDocument/2006/relationships/hyperlink" Target="consultantplus://offline/ref=B28B2BC319ACDE0AEEADEFA5054FB7A459933274EE6E8043228FDD998089C5BE3173BD10NDk0F" TargetMode="External"/><Relationship Id="rId17" Type="http://schemas.openxmlformats.org/officeDocument/2006/relationships/hyperlink" Target="consultantplus://offline/ref=B28B2BC319ACDE0AEEADEFA5054FB7A459933274EE6E8043228FDD998089C5BE3173BD12D7E25D53N0kCF" TargetMode="External"/><Relationship Id="rId25" Type="http://schemas.openxmlformats.org/officeDocument/2006/relationships/hyperlink" Target="consultantplus://offline/ref=B28B2BC319ACDE0AEEADEFA5054FB7A459933274EE6E8043228FDD998089C5BE3173BD12D7E25E5CN0kDF" TargetMode="External"/><Relationship Id="rId33" Type="http://schemas.openxmlformats.org/officeDocument/2006/relationships/hyperlink" Target="consultantplus://offline/ref=B75A62C566DB682A15430059A4788E0C24B376FFFA8EF1F151C2B09C1AD33465388762B13A5322E" TargetMode="External"/><Relationship Id="rId38" Type="http://schemas.openxmlformats.org/officeDocument/2006/relationships/hyperlink" Target="consultantplus://offline/ref=B75A62C566DB682A15430059A4788E0C2CB170F2FD8CACFB599BBC9E512DE" TargetMode="External"/><Relationship Id="rId2" Type="http://schemas.openxmlformats.org/officeDocument/2006/relationships/settings" Target="settings.xml"/><Relationship Id="rId16" Type="http://schemas.openxmlformats.org/officeDocument/2006/relationships/hyperlink" Target="consultantplus://offline/ref=B28B2BC319ACDE0AEEADEFA5054FB7A459933274EE6E8043228FDD998089C5BE3173BD10D0NEk4F" TargetMode="External"/><Relationship Id="rId20" Type="http://schemas.openxmlformats.org/officeDocument/2006/relationships/hyperlink" Target="consultantplus://offline/ref=B28B2BC319ACDE0AEEADEFA5054FB7A459933274EE6E8043228FDD998089C5BE3173BD12D7E25D53N0kCF" TargetMode="External"/><Relationship Id="rId29" Type="http://schemas.openxmlformats.org/officeDocument/2006/relationships/hyperlink" Target="consultantplus://offline/ref=B28B2BC319ACDE0AEEADEFA5054FB7A459933274EE6E8043228FDD9980N8k9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28B2BC319ACDE0AEEADEFA5054FB7A459933274EE6E8043228FDD998089C5BE3173BD10D0NEk4F" TargetMode="External"/><Relationship Id="rId11" Type="http://schemas.openxmlformats.org/officeDocument/2006/relationships/hyperlink" Target="consultantplus://offline/ref=B28B2BC319ACDE0AEEADEFA5054FB7A459933274EE6E8043228FDD998089C5BE3173BD12D7E25A52N0kFF" TargetMode="External"/><Relationship Id="rId24" Type="http://schemas.openxmlformats.org/officeDocument/2006/relationships/hyperlink" Target="consultantplus://offline/ref=B28B2BC319ACDE0AEEADEFA5054FB7A459933274EE6E8043228FDD998089C5BE3173BD12D7E25F5EN0k8F" TargetMode="External"/><Relationship Id="rId32" Type="http://schemas.openxmlformats.org/officeDocument/2006/relationships/hyperlink" Target="consultantplus://offline/ref=B75A62C566DB682A15430059A4788E0C24B376FFFA8EF1F151C2B09C1AD33465388762B15320E" TargetMode="External"/><Relationship Id="rId37" Type="http://schemas.openxmlformats.org/officeDocument/2006/relationships/hyperlink" Target="consultantplus://offline/ref=B75A62C566DB682A15430059A4788E0C24B375F1F986F1F151C2B09C1AD33465388762B233331D2C542EE" TargetMode="External"/><Relationship Id="rId40" Type="http://schemas.openxmlformats.org/officeDocument/2006/relationships/fontTable" Target="fontTable.xml"/><Relationship Id="rId5" Type="http://schemas.openxmlformats.org/officeDocument/2006/relationships/hyperlink" Target="consultantplus://offline/ref=B28B2BC319ACDE0AEEADEFA5054FB7A459933274EE6E8043228FDD998089C5BE3173BD10D3NEk7F" TargetMode="External"/><Relationship Id="rId15" Type="http://schemas.openxmlformats.org/officeDocument/2006/relationships/hyperlink" Target="consultantplus://offline/ref=B28B2BC319ACDE0AEEADEFA5054FB7A459933274EE6E8043228FDD998089C5BE3173BD10D3NEk7F" TargetMode="External"/><Relationship Id="rId23" Type="http://schemas.openxmlformats.org/officeDocument/2006/relationships/hyperlink" Target="consultantplus://offline/ref=B28B2BC319ACDE0AEEADEFA5054FB7A459933274EE6E8043228FDD998089C5BE3173BD16D7NEk6F" TargetMode="External"/><Relationship Id="rId28" Type="http://schemas.openxmlformats.org/officeDocument/2006/relationships/hyperlink" Target="consultantplus://offline/ref=B28B2BC319ACDE0AEEADEFA5054FB7A459933274EE6E8043228FDD998089C5BE3173BD16D7NEk6F" TargetMode="External"/><Relationship Id="rId36" Type="http://schemas.openxmlformats.org/officeDocument/2006/relationships/hyperlink" Target="consultantplus://offline/ref=B75A62C566DB682A15430059A4788E0C24B376FFFA8EF1F151C2B09C1AD33465388762BB30532BE" TargetMode="External"/><Relationship Id="rId10" Type="http://schemas.openxmlformats.org/officeDocument/2006/relationships/hyperlink" Target="consultantplus://offline/ref=B28B2BC319ACDE0AEEADEFA5054FB7A459933274EE6E8043228FDD998089C5BE3173BD12D7E25A58N0k9F" TargetMode="External"/><Relationship Id="rId19" Type="http://schemas.openxmlformats.org/officeDocument/2006/relationships/hyperlink" Target="consultantplus://offline/ref=B28B2BC319ACDE0AEEADEFA5054FB7A459933274EE6E8043228FDD998089C5BE3173BD17DFNEk3F" TargetMode="External"/><Relationship Id="rId31" Type="http://schemas.openxmlformats.org/officeDocument/2006/relationships/hyperlink" Target="consultantplus://offline/ref=B75A62C566DB682A15430059A4788E0C24B376FFFA8EF1F151C2B09C1AD33465388762B23333102A542AE" TargetMode="External"/><Relationship Id="rId4" Type="http://schemas.openxmlformats.org/officeDocument/2006/relationships/hyperlink" Target="consultantplus://offline/ref=B28B2BC319ACDE0AEEADEFA5054FB7A459933274EE6E8043228FDD9980N8k9F" TargetMode="External"/><Relationship Id="rId9" Type="http://schemas.openxmlformats.org/officeDocument/2006/relationships/hyperlink" Target="consultantplus://offline/ref=B28B2BC319ACDE0AEEADEFA5054FB7A459933274EE6E8043228FDD998089C5BE3173BD12D7E25D5DN0kAF" TargetMode="External"/><Relationship Id="rId14" Type="http://schemas.openxmlformats.org/officeDocument/2006/relationships/hyperlink" Target="consultantplus://offline/ref=B28B2BC319ACDE0AEEADEFA5054FB7A459933274EE6E8043228FDD998089C5BE3173BD12D7E25D5DN0kAF" TargetMode="External"/><Relationship Id="rId22" Type="http://schemas.openxmlformats.org/officeDocument/2006/relationships/hyperlink" Target="consultantplus://offline/ref=B28B2BC319ACDE0AEEADEFA5054FB7A459933274EE6E8043228FDD998089C5BE3173BD17DFNEk0F" TargetMode="External"/><Relationship Id="rId27" Type="http://schemas.openxmlformats.org/officeDocument/2006/relationships/hyperlink" Target="consultantplus://offline/ref=B28B2BC319ACDE0AEEADEFA5054FB7A459933274EE6E8043228FDD998089C5BE3173BD16D7NEk6F" TargetMode="External"/><Relationship Id="rId30" Type="http://schemas.openxmlformats.org/officeDocument/2006/relationships/hyperlink" Target="consultantplus://offline/ref=B75A62C566DB682A15430059A4788E0C24B376FFFA8EF1F151C2B09C1AD33465388762BB37532AE" TargetMode="External"/><Relationship Id="rId35" Type="http://schemas.openxmlformats.org/officeDocument/2006/relationships/hyperlink" Target="consultantplus://offline/ref=B75A62C566DB682A15430059A4788E0C24B376FFFA8EF1F151C2B09C1AD33465388762BB36532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2848</Words>
  <Characters>16236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2012-09-17T05:39:00Z</cp:lastPrinted>
  <dcterms:created xsi:type="dcterms:W3CDTF">2012-09-17T04:56:00Z</dcterms:created>
  <dcterms:modified xsi:type="dcterms:W3CDTF">2013-03-26T11:43:00Z</dcterms:modified>
</cp:coreProperties>
</file>