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AD" w:rsidRDefault="00C914AD" w:rsidP="00C914AD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71825" cy="8506046"/>
            <wp:effectExtent l="19050" t="0" r="0" b="0"/>
            <wp:docPr id="11" name="Рисунок 11" descr="http://data.normacs.ru/getdocth.jsp?docid=VD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ata.normacs.ru/getdocth.jsp?docid=VD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825" cy="850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4AD" w:rsidRDefault="00C914AD" w:rsidP="00C914AD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914AD" w:rsidRDefault="00C914AD" w:rsidP="00C914AD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914AD" w:rsidRPr="00C914AD" w:rsidRDefault="00C914AD" w:rsidP="00C914AD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Москвы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Комитет по архитектуре и градостроительству города Москвы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  <w:t>СБОРНИК</w:t>
      </w:r>
    </w:p>
    <w:p w:rsidR="00C914AD" w:rsidRPr="00C914AD" w:rsidRDefault="00C914AD" w:rsidP="00C91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34"/>
          <w:lang w:eastAsia="ru-RU"/>
        </w:rPr>
        <w:t>базовых цен на работы по обследованию</w:t>
      </w:r>
      <w:r w:rsidRPr="00C914AD">
        <w:rPr>
          <w:rFonts w:ascii="Times New Roman" w:eastAsia="Times New Roman" w:hAnsi="Times New Roman" w:cs="Times New Roman"/>
          <w:sz w:val="24"/>
          <w:szCs w:val="34"/>
          <w:lang w:eastAsia="ru-RU"/>
        </w:rPr>
        <w:br/>
        <w:t>и мониторингу технического состояния</w:t>
      </w:r>
      <w:r w:rsidRPr="00C914AD">
        <w:rPr>
          <w:rFonts w:ascii="Times New Roman" w:eastAsia="Times New Roman" w:hAnsi="Times New Roman" w:cs="Times New Roman"/>
          <w:sz w:val="24"/>
          <w:szCs w:val="34"/>
          <w:lang w:eastAsia="ru-RU"/>
        </w:rPr>
        <w:br/>
        <w:t>строительных конструкций и инженерного</w:t>
      </w:r>
      <w:r w:rsidRPr="00C914AD">
        <w:rPr>
          <w:rFonts w:ascii="Times New Roman" w:eastAsia="Times New Roman" w:hAnsi="Times New Roman" w:cs="Times New Roman"/>
          <w:sz w:val="24"/>
          <w:szCs w:val="34"/>
          <w:lang w:eastAsia="ru-RU"/>
        </w:rPr>
        <w:br/>
        <w:t>оборудования зданий и сооружений,</w:t>
      </w:r>
      <w:r w:rsidRPr="00C914AD">
        <w:rPr>
          <w:rFonts w:ascii="Times New Roman" w:eastAsia="Times New Roman" w:hAnsi="Times New Roman" w:cs="Times New Roman"/>
          <w:sz w:val="24"/>
          <w:szCs w:val="34"/>
          <w:lang w:eastAsia="ru-RU"/>
        </w:rPr>
        <w:br/>
        <w:t>осуществляемые с привлечением</w:t>
      </w:r>
      <w:r w:rsidRPr="00C914AD">
        <w:rPr>
          <w:rFonts w:ascii="Times New Roman" w:eastAsia="Times New Roman" w:hAnsi="Times New Roman" w:cs="Times New Roman"/>
          <w:sz w:val="24"/>
          <w:szCs w:val="34"/>
          <w:lang w:eastAsia="ru-RU"/>
        </w:rPr>
        <w:br/>
        <w:t>средств бюджета города Москвы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  <w:t>МРР-3.2.05.05-09</w:t>
      </w:r>
    </w:p>
    <w:p w:rsidR="00C914AD" w:rsidRPr="00C914AD" w:rsidRDefault="00C914AD" w:rsidP="00C914AD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b/>
          <w:bCs/>
          <w:spacing w:val="40"/>
          <w:sz w:val="24"/>
          <w:szCs w:val="30"/>
          <w:lang w:eastAsia="ru-RU"/>
        </w:rPr>
        <w:t>СИСТЕМА ЦЕНООБРАЗОВАНИЯ</w:t>
      </w:r>
      <w:r w:rsidRPr="00C914AD">
        <w:rPr>
          <w:rFonts w:ascii="Times New Roman" w:eastAsia="Times New Roman" w:hAnsi="Times New Roman" w:cs="Times New Roman"/>
          <w:b/>
          <w:bCs/>
          <w:spacing w:val="40"/>
          <w:sz w:val="24"/>
          <w:szCs w:val="30"/>
          <w:lang w:eastAsia="ru-RU"/>
        </w:rPr>
        <w:br/>
        <w:t>В ПРОЕКТНОМ КОМПЛЕКСЕ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>2009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«Сборник базовых цен на работы по обследованию и мониторингу технического состояния строительных конструкций и инженерного оборудования зданий и сооружений, осуществляемые с привлечением средств бюджета города Москвы. МРР-3.2.05.05-09» 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>подготовлен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специалистами: ГУП «НИАЦ» Москомархитектуры (Дронова И.Л.,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>Вайнерман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A.M.), ГУП «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>Мосгоргеотрест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» (Цыганков А.А., Лаврентьева Н.В., Терентьев А.К.,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>Блинова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В.А.), ГУП МНИИТЭП (Дорофеев В.М.,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>Дузинкевич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М.С., Федоров Н.Н.), ГУП «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>МосжилНИИпроект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>» (Сухов В.А., Манин А.А.). ИПКОН РАН (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>Иофис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М.А.,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>Негурица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Д.Л.).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«Сборник» предназначен для определения стоимости работ по обследованию строительных конструкций и инженерного оборудования существующих зданий </w:t>
      </w:r>
      <w:r w:rsidRPr="00C914AD">
        <w:rPr>
          <w:rFonts w:ascii="Times New Roman" w:eastAsia="Times New Roman" w:hAnsi="Times New Roman" w:cs="Times New Roman"/>
          <w:i/>
          <w:iCs/>
          <w:sz w:val="24"/>
          <w:szCs w:val="16"/>
          <w:lang w:eastAsia="ru-RU"/>
        </w:rPr>
        <w:t xml:space="preserve">и </w:t>
      </w:r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>сооружений, определения их технического состояния, условий капитального ремонта или реконструкции, условий примыкания проектируемых пристроек и возможности надстройки зданий, а также для определения стоимости мониторинга технического состояния зданий и сооружений.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«Сборник базовых цен на работы по обследованию и мониторингу технического состояния строительных конструкций и инженерного оборудования зданий и сооружений, осуществляемые с привлечением средств бюджета города Москвы. МРР-3.2.05.05-09» утвержден и введен и действие распоряжением Департамента экономической политики и развития города Москвы от 24 ноября 2009 года № 30-Р в соответствии с решением, принятым на заседании Межведомственного совета по ценовой политике в строительстве при Правительстве Москвы от 19 ноября 2009 (пункт 15.1 протокола заседания № </w:t>
      </w:r>
      <w:hyperlink r:id="rId5" w:tooltip="Протокол № МВС-11-09 от 19 ноября 2009 г. заседания Межведомственного совета по ценовой политике в строительстве при Правительстве Москвы" w:history="1">
        <w:r w:rsidRPr="00C914AD">
          <w:rPr>
            <w:rFonts w:ascii="Times New Roman" w:eastAsia="Times New Roman" w:hAnsi="Times New Roman" w:cs="Times New Roman"/>
            <w:sz w:val="20"/>
            <w:lang w:eastAsia="ru-RU"/>
          </w:rPr>
          <w:t>МВС-11-09</w:t>
        </w:r>
      </w:hyperlink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>).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СОДЕРЖАНИЕ</w:t>
      </w:r>
    </w:p>
    <w:tbl>
      <w:tblPr>
        <w:tblW w:w="0" w:type="auto"/>
        <w:jc w:val="center"/>
        <w:tblLook w:val="04A0"/>
      </w:tblPr>
      <w:tblGrid>
        <w:gridCol w:w="9857"/>
      </w:tblGrid>
      <w:tr w:rsidR="00C914AD" w:rsidRPr="00C914AD" w:rsidTr="00C914AD">
        <w:trPr>
          <w:jc w:val="center"/>
        </w:trPr>
        <w:tc>
          <w:tcPr>
            <w:tcW w:w="9857" w:type="dxa"/>
            <w:hideMark/>
          </w:tcPr>
          <w:p w:rsidR="00C914AD" w:rsidRPr="00C914AD" w:rsidRDefault="00C914AD" w:rsidP="00C914AD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i18853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ВВЕДЕНИЕ</w:t>
              </w:r>
            </w:hyperlink>
          </w:p>
          <w:p w:rsidR="00C914AD" w:rsidRPr="00C914AD" w:rsidRDefault="00C914AD" w:rsidP="00C914AD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i21077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1. ОБЩИЕ ПОЛОЖЕНИЯ</w:t>
              </w:r>
            </w:hyperlink>
          </w:p>
          <w:p w:rsidR="00C914AD" w:rsidRPr="00C914AD" w:rsidRDefault="00C914AD" w:rsidP="00C914AD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i45103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 xml:space="preserve">2. КЛАССИФИКАЦИЯ И НОМЕНКЛАТУРА РАБОТ ПО ОБСЛЕДОВАНИЮ И МОНИТОРИНГУ ТЕХНИЧЕСКОГО СОСТОЯНИЯ ЗДАНИЙ, СООРУЖЕНИЙ И </w:t>
              </w:r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lastRenderedPageBreak/>
                <w:t>ИНЖЕНЕРНОГО ОБОРУДОВАНИЯ.</w:t>
              </w:r>
            </w:hyperlink>
          </w:p>
          <w:p w:rsidR="00C914AD" w:rsidRPr="00C914AD" w:rsidRDefault="00C914AD" w:rsidP="00C914AD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i53056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3. МЕТОДИКА ОПРЕДЕЛЕНИЯ СТОИМОСТИ РАБОТ ПО ОБСЛЕДОВАНИЮ И МОНИТОРИНГУ ТЕХНИЧЕСКОГО СОСТОЯНИЯ СТРОИТЕЛЬНЫХ КОНСТРУКЦИЙ И ИНЖЕНЕРНОГО ОБОРУДОВАНИЯ ЗДАНИЙ И СООРУЖЕНИЙ.</w:t>
              </w:r>
            </w:hyperlink>
          </w:p>
          <w:p w:rsidR="00C914AD" w:rsidRPr="00C914AD" w:rsidRDefault="00C914AD" w:rsidP="00C914AD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i66820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4. БАЗОВЫЕ ЦЕНЫ НА РАБОТЫ ПО ОБСЛЕДОВАНИЮ ТЕХНИЧЕСКОГО СОСТОЯНИЯ СТРОИТЕЛЬНЫХ КОНСТРУКЦИЙ ЗДАНИЙ И СООРУЖЕНИЙ</w:t>
              </w:r>
            </w:hyperlink>
          </w:p>
          <w:p w:rsidR="00C914AD" w:rsidRPr="00C914AD" w:rsidRDefault="00C914AD" w:rsidP="00C914AD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i138263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5. БАЗОВЫЕ ЦЕНЫ НА РАБОТЫ ПО ОБСЛЕДОВАНИЮ ТЕХНИЧЕСКОГО СОСТОЯНИЯ ИНЖЕНЕРНОГО ОБОРУДОВАНИЯ И МОНИТОРИНГУ ТЕХНИЧЕСКОГО СОСТОЯНИЯ ЗДАНИЙ И СООРУЖЕНИЙ</w:t>
              </w:r>
            </w:hyperlink>
          </w:p>
          <w:p w:rsidR="00C914AD" w:rsidRPr="00C914AD" w:rsidRDefault="00C914AD" w:rsidP="00C914AD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i304868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Приложение 1</w:t>
              </w:r>
            </w:hyperlink>
            <w:r w:rsidRPr="00C914A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hyperlink r:id="rId13" w:anchor="i322611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РАСЧЕТ</w:t>
              </w:r>
            </w:hyperlink>
            <w:r w:rsidRPr="00C914A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hyperlink r:id="rId14" w:anchor="i334611" w:history="1">
              <w:proofErr w:type="gramStart"/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значений коэффициента полноты выполнения работ</w:t>
              </w:r>
              <w:proofErr w:type="gramEnd"/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 xml:space="preserve"> </w:t>
              </w:r>
              <w:proofErr w:type="spellStart"/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К</w:t>
              </w:r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vertAlign w:val="subscript"/>
                  <w:lang w:eastAsia="ru-RU"/>
                </w:rPr>
                <w:t>ср</w:t>
              </w:r>
              <w:proofErr w:type="spellEnd"/>
            </w:hyperlink>
          </w:p>
          <w:p w:rsidR="00C914AD" w:rsidRPr="00C914AD" w:rsidRDefault="00C914AD" w:rsidP="00C914AD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i341516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Приложение 2</w:t>
              </w:r>
            </w:hyperlink>
            <w:r w:rsidRPr="00C914A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hyperlink r:id="rId16" w:anchor="i354995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Примеры расчета стоимости работ по обследованию и мониторингу технического состояния строительных конструкций и инженерного оборудования зданий и сооружений, осуществляемых с привлечением средств бюджета города Москвы.</w:t>
              </w:r>
            </w:hyperlink>
          </w:p>
        </w:tc>
      </w:tr>
    </w:tbl>
    <w:p w:rsidR="00C914AD" w:rsidRPr="00C914AD" w:rsidRDefault="00C914AD" w:rsidP="00C914AD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</w:pPr>
      <w:bookmarkStart w:id="0" w:name="i18853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lastRenderedPageBreak/>
        <w:t>ВВЕДЕНИЕ</w:t>
      </w:r>
      <w:bookmarkEnd w:id="0"/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«Сборнике базовых цеп на работы по обследованию и мониторингу технического состояния строительных конструкций и инженерного оборудования зданий и сооружений, осуществляемые с привлечением средств бюджета города Москвы. МРР-3.2.05.05.-09» (далее «Сборник») разработаны базовые цены для объектов, финансируемых из бюджета города Москвы для применения организациями, занимающимися обследованием и мониторингом, а также заказчиками, инвесторами и подрядными организациями города Москвы.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При выполнении работы были использованы следующие действующие нормативно-методические документы и источники: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«Справочник по ценообразованию» под редакцией Н.Т. Глушкова, Москва, изд-во "Экономика», 1995 г.;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Л. Канторович и др. "Экономика и организация", Москва, изд-во "Наука", 1990 г.;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«Сборник базовых цен на проектные работы для строительства в городе Москве. </w:t>
      </w:r>
      <w:hyperlink r:id="rId17" w:tooltip="Сборник базовых цен на проектные работы для строительства в городе Москве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МРР-3.2.06.06-06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, (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Введен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 действие с 01.12.2006 постановлением Правительства Москвы от 14.11.2006 № </w:t>
      </w:r>
      <w:hyperlink r:id="rId18" w:tooltip="О порядке перехода на определение сметной стоимости строительства объектов в городе Москве с применением территориальных сметных нормативов в уровне цен по состоянию на 1 января 2000 года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900-ПП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);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</w:t>
      </w:r>
      <w:hyperlink r:id="rId19" w:tooltip="Изменение № 1 к «Сборнику базовых цен на проектные работы для строительства в городе Москве. МРР-3.2.06.06-06»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Изменение № 1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к «Сборнику базовых цен на проектные работы для строительства в городе Москве. МРР-3.2.06.06-06» (Утверждено и введено в действие распоряжением Комитета города Москвы по государственной экспертизе проектов и ценообразования в строительстве от 21.12.2007 № 21);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</w:t>
      </w:r>
      <w:hyperlink r:id="rId20" w:tooltip="Изменение № 2 к «Сборнику базовых цен на проектные работы для строительства в городе Москве. МРР-3.2.06.06-06»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Изменение № 2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к «Сборнику базовых цен на проектные работы для строительства в городе Москве. МРР-3.2.06.06-06» (Утверждено и введено в действие распоряжением Департамента экономической политики и развития города Москвы от 18.05.2009 № 11-Р);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«Рекомендации по обследованию и мониторингу технического состояния зданий и сооружений в городе Москве» (Утверждены приказом директора ГУП «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M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НИИТЭП» № 164 от 29.12.06),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«Методика проведения обследований зданий и сооружений при их реконструкции и перепланировке» </w:t>
      </w:r>
      <w:hyperlink r:id="rId21" w:tooltip="Методика обследований зданий и сооружений при их реконструкции и перепланировке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МРР-2.2.07-98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(Утверждена указанием Москомархитектуры № 37 от 15.10.98);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«</w:t>
      </w:r>
      <w:hyperlink r:id="rId22" w:tooltip="Общие указания по применению справочников базовых цен на проектные работы для строительства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Общие указания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по применению справочников базовых цен на проектные работы для 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>строительства» (Введены в действие с 10.08.2002 г. постановлением Госстроя России от 07.08.02 № 102;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«Сборник базовых цен на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предпроектные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и проектные работы для объектов капитального ремонта в городе Москве» </w:t>
      </w:r>
      <w:hyperlink r:id="rId23" w:tooltip="Сборник базовых цен на предпроектные и проектные работы для объектов капитального ремонта в городе Москве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МРР-3.2.38.02-07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» (утвержден и введен в действие распоряжением председателя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Москомэкспертизы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от 28.04.2007 года, № 7);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«</w:t>
      </w:r>
      <w:hyperlink r:id="rId24" w:tooltip="Справочник базовых цен на инженерно-геологические и инженерно-экологические изыскания для строительства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Справочник базовых цен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на инженерно-геологические и инженерно-экологические изыскания для строительства», Москва, ПНИИИС Госстроя России, 1999 г.;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«</w:t>
      </w:r>
      <w:hyperlink r:id="rId25" w:tooltip="Справочник базовых цен на обмерные работы и обследования зданий и сооружений.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Справочник базовых цен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на обмерные работы и обследования зданий и сооружений», ГП «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Центринвестпроект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»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Минземстроя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России, Москва, 1998 г.;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«</w:t>
      </w:r>
      <w:hyperlink r:id="rId26" w:tooltip="Рекомендации по обследованию и мониторингу технического состояния эксплуатируемых зданий, расположенных вблизи нового строительства или реконструкции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Рекомендации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по обследованию и мониторингу технического состояния эксплуатируемых зданий, расположенных вблизи нового строительства или реконструкции», Москва, 1998 г (Приняты и введены в действие указанием Москомархитектуры от 18.11.98 г. № 39);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«</w:t>
      </w:r>
      <w:hyperlink r:id="rId27" w:tooltip="Справочник базовых цен на инженерные изыскания для строительства. Инженерно-геодезические изыскания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Справочник базовых цен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на инженерные изыскания для строительства. Инженерно-геодезические изыскания», Госстрой России, Москва, 2004 г.;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«Методика определения стоимости научных, нормативно-методических, проектных и других видов работ (услуг), осуществляемых с привлечением средств бюджета города Москвы (на основании нормируемых трудозатрат). </w:t>
      </w:r>
      <w:hyperlink r:id="rId28" w:tooltip="Методика определения стоимости научных, нормативно-методических, проектных и других видов работ (услуг) осуществляемых с привлечением средств бюджета города Москвы (на основании нормируемых трудозатрат)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МРР-3.2.67-09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». (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Утверждена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и введена в действие распоряжением № 16-Р от 28 июля 2009 г. в соответствии с решением, принятым на заседании Межведомственного совета по ценовой политике в строительстве при Правительстве Москвы от 23.07.2009 г. № </w:t>
      </w:r>
      <w:hyperlink r:id="rId29" w:tooltip="Протокол № МВС-7-09 от 23 июля 2009 г. заседания Межведомственного совета по ценовой политике в строительстве при Правительстве Москвы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МВС-7-09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).</w:t>
      </w:r>
    </w:p>
    <w:p w:rsidR="00C914AD" w:rsidRPr="00C914AD" w:rsidRDefault="00C914AD" w:rsidP="00C914AD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</w:pPr>
      <w:bookmarkStart w:id="1" w:name="i21077"/>
      <w:r w:rsidRPr="00C914AD"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  <w:t>1. ОБЩИЕ ПОЛОЖЕНИЯ</w:t>
      </w:r>
      <w:bookmarkEnd w:id="1"/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1.1. «Сборник» является составной частью норм и нормативов в проектно-строительном комплексе Москвы.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1.2. «Сборник» предназначен для определения стоимости работ по обследованию строительных конструкций и инженерного оборудования существующих зданий и сооружений, определения их технического состояния, условий капитального ремонта или реконструкции, условий примыкания проектируемых пристроек и возможности надстройки зданий, а также для определения стоимости мониторинга технического состояния зданий и сооружений.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«Сборник» не распространяется на работы по обследованию гидротехнических сооружений, мостов, тоннелей труб, дорог, аэродромных покрытий и других специальных сооружений.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1.3. Критерии оценки стоимости работ по обследованию и мониторингу технического состояния строительных конструкций зданий, сооружений и инженерного оборудования учитывают общественно необходимые затраты на их выполнение, оформление и передачу заказчику.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1.4. Стоимость работ по обследованиям и мониторингу в текущих ценах определяется в уровне базовых цен на 01.01.2000 года с коэффициентами, учитывающими усложняющие (упрощающие) факторы и инфляционные процессы, присущие рыночной экономике.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1.5. Стоимость работ по обследованию и мониторингу технического состояния строительных конструкций зданий, сооружений и оборудования, определенная в соответствии с методическими положениями, изложенными в «Сборнике» является исходной для определения договорной цепы.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1.6. Под </w:t>
      </w:r>
      <w:r w:rsidRPr="00C914AD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>комплексным обследованием технического состояния зданий и сооружений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понимается комплекс мероприятий по определению </w:t>
      </w: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оценке фактических значений контролируемых параметров грунтов основания, строительных конструкций и инженерного оборудования зданий и сооружений. Этот комплекс характеризует техническое состояние, пригодность и работоспособность объекта обследования и определяет возможность и условия </w:t>
      </w: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его дальнейшей эксплуатации, реконструкции или необходимость восстановления, усиления, ремонта и включает обследование технического состояния здания или сооружения, теплотехнических и акустических свойств конструкций, систем инженерного обеспечения объекта, за исключением технологического оборудования.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1.7. Под </w:t>
      </w:r>
      <w:r w:rsidRPr="00C914AD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>общим мониторингом технического состояния зданий и сооружений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понимается система наблюдения и контроля, проводимая по утверждаемой заказчиком программе для выявления объектов, на которых произошли значительные изменения напряженно-деформированного состояния несущих конструкций, и для которых необходимо обследование их технического состояния.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1.8. В ценах «Сборника» учтены расходы на оплату труда участников обследований и мониторинга, содержание административно-управленческого персонала, отчисления на государственное социальное и медицинское страхование, амортизационные отчисления на восстановление основных производственных фондов и расходы на их ремонт, арендная плата, налоги и сборы, в соответствии с законодательством, и сметная прибыль.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1.9. В стоимости работ, определяемой в соответствии со «Сборником», учтены: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а) подготовка и наладка (проверка) приборов, инструмента и оборудования, их мелкий и средний ремонт;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б) проведение необходимых согласований, связанных с производством обследований и мониторинга;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в) передача технической документации заказчику.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1.10. В стоимость работ не входят и определяются дополнительно затраты: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а) на проведение специальных мероприятий при обследовании сложных конструкций или сооружений;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б) по восстановлению нарушенных газонов и зеленых насаждений, восстановлению нарушенных бетонных и асфальтовых покрытий;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в) по восстановлению вскрытых конструкций;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г) по горнопроходческим работам при обследовании фундаментов, а также буровым, опытным и лабораторным работам, связанным с изучением инженерно-геологических и гидрогеологических условий участка;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д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) по устройству и разборке лесов и подмостей;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е) по определению планово-высотного положения строительных конструкций и инженерно-геологических выработок;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ж) по выплате командировочных расходов в размерах, установленных действующим законодательством.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з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) по доставке приборов, инструментов и т.п. к месту обследования и обратно, а также переносу во время обследования - определяются в размере 15% от стоимости работ по т.т. </w:t>
      </w:r>
      <w:hyperlink r:id="rId30" w:anchor="i88105" w:tooltip="БАЗОВЫЕ ЦЕНЫ НА ВЫПОЛНЕНИЕ ОБМЕРНО-ОБСЛЕДОВАТЕЛЬСКИХ РАБОТ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4.3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</w:t>
      </w:r>
      <w:hyperlink r:id="rId31" w:anchor="i113821" w:tooltip="таблица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4.7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</w:t>
      </w:r>
      <w:hyperlink r:id="rId32" w:anchor="i125181" w:tooltip="таблица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4.8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(кроме п.п. 1, 2, 3, 7).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1.11. Затраты на использование транспорта, оборудования и аренду передвижной станции мониторинга включены в базовые цены </w:t>
      </w:r>
      <w:hyperlink r:id="rId33" w:anchor="i142460" w:tooltip="БАЗОВЫЕ ЦЕНЫ НА РАБОТЫ ПО ОБСЛЕДОВАНИЮ ТЕХНИЧЕСКОГО СОСТОЯНИЯ ИНЖЕНЕРНОГО ОБОРУДОВАНИЯ И МОНИТОРИНГУ ТЕХНИЧЕСКОГО СОСТОЯНИЯ ЗДАНИЙ И СООРУЖЕ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раздела 5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п.п. </w:t>
      </w:r>
      <w:hyperlink r:id="rId34" w:anchor="i198347" w:tooltip="Обследование звукоизоляции ограждающих конструкц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5.3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., </w:t>
      </w:r>
      <w:hyperlink r:id="rId35" w:anchor="i214178" w:tooltip="Измерение шума от работы инженерного, технологического оборудования и внешних источников: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5.4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., </w:t>
      </w:r>
      <w:hyperlink r:id="rId36" w:anchor="i231558" w:tooltip="Измерение вибрац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5.5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(табл. </w:t>
      </w:r>
      <w:hyperlink r:id="rId37" w:anchor="i205198" w:tooltip="Базовые цены на обследование звукоизоляции стен, перегородок, междуэтажных перекрытий, дверей и наружных ограждающих конструкц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5.4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табл. </w:t>
      </w:r>
      <w:hyperlink r:id="rId38" w:anchor="i223788" w:tooltip="Базовые цены на измерение шума от работы инженерного, технологического оборудования и внешних источников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5.5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табл. </w:t>
      </w:r>
      <w:hyperlink r:id="rId39" w:anchor="i244400" w:tooltip="Базовые цены на измерение вибрац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5.6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) и п.п. </w:t>
      </w:r>
      <w:hyperlink r:id="rId40" w:anchor="i265185" w:tooltip="Общий мониторинг технического состояния зданий и сооруже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5.8.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</w:t>
      </w:r>
      <w:hyperlink r:id="rId41" w:anchor="i281760" w:tooltip="Мониторинг технического состояния зданий и сооружений, находящихся в ограниченно работоспособном или аварийном состоянии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5.9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(табл. </w:t>
      </w:r>
      <w:hyperlink r:id="rId42" w:anchor="i274912" w:tooltip="Базовые цепы на общий мониторинг технического состояния зданий и сооруже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5.10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; табл. </w:t>
      </w:r>
      <w:hyperlink r:id="rId43" w:anchor="i296752" w:tooltip="Базовые цены на мониторинг технического состоянии зданий и сооружений, находящихся в ограниченно работоспособном или аварийном состоянии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5.11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).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1.12. Стоимость работ по обследованию находится в непосредственной зависимости от сложности объемно-планировочных и конструктивных решений зданий и сооружений. При комплексном обследовании и мониторинге, здания и сооружения характеризуются по категориям сложности, учитывающим конструктивные особенности, виды материалов и их состояние на период выполнения работ.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1.13. Описание категорий сложности зданий (сооружений), представлено в таблице 1.1.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По конструктивным особенностям существует следующее подразделение зданий (сооружений) по категориям сложности: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>Таблица 1.1.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10"/>
        <w:gridCol w:w="1424"/>
        <w:gridCol w:w="7735"/>
      </w:tblGrid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№№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</w:t>
            </w:r>
            <w:proofErr w:type="spellEnd"/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Категория сложности здания</w:t>
            </w:r>
          </w:p>
        </w:tc>
        <w:tc>
          <w:tcPr>
            <w:tcW w:w="3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Характеристика сложности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3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I</w:t>
            </w:r>
          </w:p>
        </w:tc>
        <w:tc>
          <w:tcPr>
            <w:tcW w:w="3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Основные несущие конструкции имеют следующие особенности: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 Фундаменты ленточные, глубина заложения не превышает 1,5 м, грунтовой воды в шурфах нет, имеется 1-2 вида разновидностей кладки.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 Стены с одним видом кирпича (камня) и раствора и одним расчетным сопротивлением.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 Перекрытия с простыми расчетными схемами, симметричными нагрузками, прямоугольными грузовыми площадями.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 Основные несущие конструкции здания находятся в удовлетворительном состоянии.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II</w:t>
            </w:r>
          </w:p>
        </w:tc>
        <w:tc>
          <w:tcPr>
            <w:tcW w:w="3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Достаточно одного из ниже перечисленных признаков:</w:t>
            </w:r>
          </w:p>
          <w:p w:rsidR="00C914AD" w:rsidRPr="00C914AD" w:rsidRDefault="00C914AD" w:rsidP="00C91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Глубина заложения фундаментов или низа ростверка составляет от 1,5 м до 3 м от устья шурфа.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- В шурфах накапливается вода с умеренным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притоком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и требуются её периодические откачки.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 Количество разновидностей кладки фундаментов равно трем.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 Стены с двумя видами кирпича (камня) и раствора или двумя расчетными сопротивлениями кладки.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 Перекрытия со сложными расчетными схемами, грузовые плошали трапециевидные и криволинейные;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 Здание состоит в плане из 2-3-х прямоугольников с разнотипными помещениями в пределах этажа.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III</w:t>
            </w:r>
          </w:p>
        </w:tc>
        <w:tc>
          <w:tcPr>
            <w:tcW w:w="3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Достаточно одного из ниже перечисленных признаков: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Глубина заложения фундамента или низа ростверка превышает 3,0 м. В шурфах имеется обильный приток воды; количество разновидностей кладки четыре и более.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 Стены с тремя и более видами кирпича (камня) и раствора или тремя и более расчетными сопротивлениями кладки.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 По конструктивному решению здание каркасной конструкции, с крановыми нагрузками, выполнено по рамной или рамно-связевой расчетной схеме.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- Перекрытия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безбалочные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 Сборные железобетонные элементы предварительно напряжены. Изгибаемые элементы многопролетные с несимметричными нагрузками и неравными пролетами.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 Здание подверглось реконструкции с перестройкой части основных несущих конструкций. Техническое состояние здания неудовлетворительное в связи с имеющимися деформациями, физическим износом и т.п. причинами.</w:t>
            </w:r>
          </w:p>
        </w:tc>
      </w:tr>
    </w:tbl>
    <w:p w:rsidR="00C914AD" w:rsidRPr="00C914AD" w:rsidRDefault="00C914AD" w:rsidP="00C914A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1.14. В зависимости от условий выполнения стоимость работ по обследованиям корректируется с помощью коэффициентов, представленных в таблице 1.2.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Корректирующие коэффициенты к базовым ценам на работы по обследованию технического состояния строительных конструкций зданий и сооружений</w:t>
      </w:r>
    </w:p>
    <w:p w:rsidR="00C914AD" w:rsidRPr="00C914AD" w:rsidRDefault="00C914AD" w:rsidP="00C914AD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bookmarkStart w:id="2" w:name="i34432"/>
      <w:bookmarkEnd w:id="2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1.2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598"/>
        <w:gridCol w:w="7135"/>
        <w:gridCol w:w="2036"/>
      </w:tblGrid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№№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</w:t>
            </w:r>
            <w:proofErr w:type="spellEnd"/>
          </w:p>
        </w:tc>
        <w:tc>
          <w:tcPr>
            <w:tcW w:w="3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Условия и работы, при которых применяется коэффициент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Корректирующий коэффициент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bscript"/>
                <w:lang w:eastAsia="ru-RU"/>
              </w:rPr>
              <w:t>i</w:t>
            </w:r>
            <w:proofErr w:type="spellEnd"/>
            <w:proofErr w:type="gramEnd"/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3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</w:t>
            </w:r>
          </w:p>
        </w:tc>
        <w:tc>
          <w:tcPr>
            <w:tcW w:w="36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Выполнение обмерных и конструкторских работ в полном или неполном объеме (&lt;100%).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bscript"/>
                <w:lang w:eastAsia="ru-RU"/>
              </w:rPr>
              <w:t>ср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коэффициент, учитывающий полноту выполнения работы или комплекса работ.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bscript"/>
                <w:lang w:eastAsia="ru-RU"/>
              </w:rPr>
              <w:t>ср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определяется расчетом по т. </w:t>
            </w:r>
            <w:hyperlink r:id="rId44" w:anchor="i76545" w:tooltip="таблица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4.1</w:t>
              </w:r>
            </w:hyperlink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- для обмерных работ, по т. </w:t>
            </w:r>
            <w:hyperlink r:id="rId45" w:anchor="i95078" w:tooltip="таблица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4.4.</w:t>
              </w:r>
            </w:hyperlink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- для конструкторских 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работ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Здания с закрытым режимом, строения и участки, прилегающие к ним, где по обстановке или установленному режиму неизбежны перерывы в работе, связанные с потерями рабочего времени, или обследование на которых возможно лишь в нерабочее время, включая ночное время.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 ним, прежде всего, относятся эксплуатируемые квартиры в жилых домах, эксплуатируемые общественные и промышленные здания и сооружения, для которых установлен твердый график работы, в</w:t>
            </w:r>
            <w:r w:rsidRPr="00C914AD">
              <w:rPr>
                <w:rFonts w:ascii="Times New Roman" w:eastAsia="Times New Roman" w:hAnsi="Times New Roman" w:cs="Times New Roman"/>
                <w:caps/>
                <w:sz w:val="20"/>
                <w:szCs w:val="16"/>
                <w:lang w:eastAsia="ru-RU"/>
              </w:rPr>
              <w:t xml:space="preserve"> 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процессе которой невозможно проведение обследования по требованиям техники безопасности, либо по причинам, существенно мешающим проведению инструментальных измерений (распространяется на все виды работ сборника, кроме работ, указанных в табл. </w:t>
            </w:r>
            <w:hyperlink r:id="rId46" w:anchor="i125181" w:tooltip="таблица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4.8</w:t>
              </w:r>
            </w:hyperlink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п.п. 1, 2, 3, 7).</w:t>
            </w:r>
            <w:proofErr w:type="gramEnd"/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1,25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проводится в неблагоприятных условиях: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а) в помещениях или на территориях с вредным для здоровья производством (если работникам организаций установлены льготные условия груда);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1,20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б) в помещениях с температурой воздуха более 30°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1,10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в) обследуемые конструкции расположены на высоте 2-х и более метров и для доступа к ним необходимы лестницы, подмости, леса и т.п. приспособления;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1,15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г) неблагоприятный период года.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Продолжительность неблагоприятного периода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для</w:t>
            </w:r>
            <w:proofErr w:type="gramEnd"/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Москвы и Московской области 6,5 месяцев (20/X-05/V).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) работы проводятся внутри эксплуатируемых зданий или в помещениях, площади которых заняты оборудованием свыше 50%;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1,10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Обследуемые здания являются памятниками архитектуры, истории или культуры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1,20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Здания имеют малый строительный объем, при общем объеме здания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а) до 1000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(включительно)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б) до 2000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(включительно)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в) до 3000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(включительно)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г) до 4000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(включительно)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) до 5000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(включительно)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е) 6000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и более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При высоте здания выше 30 м (к табл. </w:t>
            </w:r>
            <w:hyperlink r:id="rId47" w:anchor="i88105" w:tooltip="БАЗОВЫЕ ЦЕНЫ НА ВЫПОЛНЕНИЕ ОБМЕРНО-ОБСЛЕДОВАТЕЛЬСКИХ РАБОТ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4.3</w:t>
              </w:r>
            </w:hyperlink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; </w:t>
            </w:r>
            <w:hyperlink r:id="rId48" w:anchor="i108153" w:tooltip="БАЗОВЫЕ ЦЕНЫ НА ВЫПОЛНЕНИЕ ИНЖЕНЕРНО-КОНСТРУКТОРСКИХ РАБОТ" w:history="1">
              <w:r w:rsidRPr="00C914A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4.6</w:t>
              </w:r>
            </w:hyperlink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)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а) до 40 м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1,15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б) до 50 м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1,25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в) выше 50 м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8.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Объекты, обследуемые после пожара, наводнения или др. стихийных бедствий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1,30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9.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Обмерно-обследовательские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работы производятся с использованием только чертежей проекта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0,75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10.</w:t>
            </w:r>
          </w:p>
        </w:tc>
        <w:tc>
          <w:tcPr>
            <w:tcW w:w="36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Обмерно-обследовательские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работы выполнены без обмеров планов расположения видимых плит, балок и прогонов, т.е. произведена только сверка с натурой плана этажа с нанесением на план видимых дефектов и ме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 вскр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ытий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leader="underscore" w:pos="1291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0,75</w:t>
            </w:r>
          </w:p>
        </w:tc>
      </w:tr>
    </w:tbl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b/>
          <w:bCs/>
          <w:spacing w:val="40"/>
          <w:sz w:val="20"/>
          <w:szCs w:val="16"/>
          <w:lang w:eastAsia="ru-RU"/>
        </w:rPr>
        <w:t>Примечания: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1. При применении к ценам нескольких установленных коэффициентов на различные факторы, влияющие на производство работ, коэффициент рассчитывается путем перемножения коэффициентом, произведение которых не должно превышать величины 4.5 без учёта коэффициента за выполнение работ в неблагоприятный период года (пункт 3г табл. </w:t>
      </w:r>
      <w:hyperlink r:id="rId49" w:anchor="i34432" w:tooltip="Корректирующие коэффициенты к базовым ценам на работы по обследованию технического состояния строительных конструкций зданий и сооруже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1.2</w:t>
        </w:r>
      </w:hyperlink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>).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2. Применение повышающих коэффициентов на малый строительный объём обусловлено увеличением трудозатрат на обследование большего количества конструкций (перекрытий, балок, ферм и стропил сложной конструкции) на меньшей площади преимущественно в небольших зданиях старой застройки и, соответственно, более сложными расчётами. Коэффициенты п. 6 табл. </w:t>
      </w:r>
      <w:hyperlink r:id="rId50" w:anchor="i34432" w:tooltip="Корректирующие коэффициенты к базовым ценам на работы по обследованию технического состояния строительных конструкций зданий и сооруже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1.2</w:t>
        </w:r>
      </w:hyperlink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применяются при минимальной площади обследуемого помещения более 100 м</w:t>
      </w:r>
      <w:proofErr w:type="gramStart"/>
      <w:r w:rsidRPr="00C914AD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2</w:t>
      </w:r>
      <w:proofErr w:type="gramEnd"/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>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3. Повышающие коэффициенты на высоту здания (п. 7 табл. </w:t>
      </w:r>
      <w:hyperlink r:id="rId51" w:anchor="i34432" w:tooltip="Корректирующие коэффициенты к базовым ценам на работы по обследованию технического состояния строительных конструкций зданий и сооруже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1.2</w:t>
        </w:r>
      </w:hyperlink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>) применяются в случае невозможности доступа к местам обследования из-за высоты здания при работе снаружи, отсутствием лифта в рабочем состоянии при работе внутри, отсутствием лестничных маршей.</w:t>
      </w:r>
    </w:p>
    <w:p w:rsidR="00C914AD" w:rsidRPr="00C914AD" w:rsidRDefault="00C914AD" w:rsidP="00C914AD">
      <w:pPr>
        <w:tabs>
          <w:tab w:val="left" w:pos="1162"/>
        </w:tabs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1.15. При экспертно-технических обследованиях стоимость определяется по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>I-й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сложности работ.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1.16. Стоимость экспертизы технических заключений по результатам обследования 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>строительных конструкций существующих зданий и сооружений, выполненных другими организациями, определяется в объеме до 7,5% сметной стоимости обследования, в зависимости от состава работ, в пределах стоимости работ по обследованиям.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1.17. Объем работ в каждом конкретном случае определяется в соответствии 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с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: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«Правилами обследования несущих строительных конструкций зданий и сооружений. </w:t>
      </w:r>
      <w:hyperlink r:id="rId52" w:tooltip="Правила обследования несущих строительных конструкций зданий и сооруже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СП-13-102-2003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. - М.: 2003»;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«Положением по техническому обследованию жилых зданий. </w:t>
      </w:r>
      <w:hyperlink r:id="rId53" w:tooltip="Положение по техническому обследованию жилых зда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ВСН 57-88 р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. - М.:2003».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1.18. По зданиям, состоящим из отдельных объемов с разными высотами, стоимость работ определяется по каждому объему. При определении отдельных объемов здания, отличающихся по высоте, стена, разграничивающая части здания, относится к той части, которой она соответствует по высоте.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1.19. Строительные объемы, площади и этажность надземной и подземной частей жилых, общественных и промышленных зданий определяются в соответствии со </w:t>
      </w:r>
      <w:hyperlink r:id="rId54" w:tooltip="Здания жилые многоквартирные" w:history="1">
        <w:proofErr w:type="spellStart"/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СНиП</w:t>
        </w:r>
        <w:proofErr w:type="spellEnd"/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 xml:space="preserve"> 31-01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</w:t>
      </w:r>
      <w:hyperlink r:id="rId55" w:tooltip="Архитектурно-планировочные решения многоквартирных жилых зда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СП 31-107-2004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«Архитектурно-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планировочные решения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многоквартирных жилых зданий»; </w:t>
      </w:r>
      <w:hyperlink r:id="rId56" w:tooltip="Общественные здания административного назначения" w:history="1">
        <w:proofErr w:type="spellStart"/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СНиП</w:t>
        </w:r>
        <w:proofErr w:type="spellEnd"/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 xml:space="preserve"> 31-05-2003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«Общественные здания административного назначения»; </w:t>
      </w:r>
      <w:hyperlink r:id="rId57" w:tooltip="Производственные здания" w:history="1">
        <w:proofErr w:type="spellStart"/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СНиП</w:t>
        </w:r>
        <w:proofErr w:type="spellEnd"/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 xml:space="preserve"> 31-03-2001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«Производственные здания».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1.20. Открытые эстакады рассматриваются как одноэтажные здания с высотой, равной высоте надземной части колонн.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1.21. Стоимость обследования фундаментов, стен и других конструкций здания для определения условий примыкания к ним проектируемых пристроек определяется по данному сборнику, исходя из условного строительного объема, определенного для той части здания, для которой возможны дополнительные осадки от возведения пристроек.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1.22. За узел вскрытых и обследованных строительных конструкций условно принято: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поперечное сечение деревянной, стальной или железобетонной балки или прогона с примыкающими элементами заполнения (лаги, накат,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сводики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, пол, подшивка, штукатурка, смазка, засыпка и т.п.);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сечение по элементам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безбалочного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перекрытия сводчатого или плоского, а также сечения по вскрытию перекрытия вне места расположения банки или прогона;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поперечное сечение железобетонной плиты с указанием арматуры, то же поперечное сечение железобетонных или стальных элементов и других конструкций.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1.23. При обследовании части здания или отдельного его помещения учитываются 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объем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и высота обследуемой части здания или его помещения.</w:t>
      </w:r>
    </w:p>
    <w:p w:rsidR="00C914AD" w:rsidRPr="00C914AD" w:rsidRDefault="00C914AD" w:rsidP="00C914AD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</w:pPr>
      <w:bookmarkStart w:id="3" w:name="i45103"/>
      <w:r w:rsidRPr="00C914AD"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  <w:t>2. КЛАССИФИКАЦИЯ И НОМЕНКЛАТУРА РАБОТ ПО ОБСЛЕДОВАНИЮ И МОНИТОРИНГУ ТЕХНИЧЕСКОГО СОСТОЯНИЯ ЗДАНИЙ, СООРУЖЕНИЙ И ИНЖЕНЕРНОГО ОБОРУДОВАНИЯ.</w:t>
      </w:r>
      <w:bookmarkEnd w:id="3"/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2.1. В настоящем документе обследования и мониторинг представлены: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обмерно-обследовательскими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работами;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инженерно-конструкторскими работами;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работами по обследованию строительных конструкций неразрушающими методами;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лабораторными испытаниями строительных материалов, отобранных из конструкций;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обследованием инженерного оборудования;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мониторингом технического состояния зданий и сооружений.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2.2. Каждый вид обследований подразделяется на подвиды и отдельные операции, определяемые специфическими особенностями выполнения работ, в частности: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обследование частей зданий (фундаменты, перекрытия, другие несущие конструкции, фасады);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обследование узлов и деталей конструкций зданий и сооружений;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определение прочности материалов в готовых строительных конструкциях;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>- определение прочности материалов строительных конструкций путем лабораторного испытания образцов;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определение деформаций зданий (сооружений) и отдельных конструкций, и др.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2.3. Объем работ по обследованиям находится в непосредственной зависимости 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от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: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сложности объемно-планировочных и конструктивных решений зданий (сооружений);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состава работ;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условий выполнения обследований;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технической оснащенности и пр.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Все факторы, осложняющие выполнение обследований, разбиты по категориям сложности и учитываются соответствующими коэффициентами.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2.4. По месту проведения обследования подразделяются 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на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: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«полевые», осуществляемые непосредственно на обследованном объекте;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«камеральные», испытания и исследования в лабораторных условиях.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2.5. Обследование технического состояния конструкций зданий и сооружений подразделяется 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на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: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2.5.1. Обследование технического состояния основных конструкций зданий (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см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. п. 2.2).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2.5.2. Обследование технического состояния инженерного оборудования, в том числе: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систем горячего водоснабжения;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систем отопления;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систем холодною водоснабжения;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систем канализации;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систем вентиляции;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систем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мусороудаления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систем газоснабжения;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состояния водостоков.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2.5.3. Обследование технического состояния электрических сетей и сре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дств св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язи.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2.5.4. Обследование звукоизоляции ограждающих конструкций, шума инженерного оборудования, вибраций и внешнего шума, в том числе: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обследование звукоизоляции стен, перегородок, междуэтажных перекрытий, дверей и пр.;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измерение шума от работы инженерного, технологического оборудования и внешних источников;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измерение вибрации.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2.5.5. Определение теплотехнических показателей наружных ограждающих конструкций.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2.6. Мониторинг технического состояния зданий и сооружений подразделяется на следующие виды: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2.6.1. Общий мониторинг технического состояния зданий и сооружений города.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2.6.2. Мониторинг техническою состояния зданий и сооружений, находящихся в ограниченно работоспособном состоянии.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2.6.3. Мониторинг технического состояния зданий и сооружений, попадающих в зону влияния строек и природно-техногенных воздействий.</w:t>
      </w:r>
    </w:p>
    <w:p w:rsidR="00C914AD" w:rsidRPr="00C914AD" w:rsidRDefault="00C914AD" w:rsidP="00C914AD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</w:pPr>
      <w:bookmarkStart w:id="4" w:name="i53056"/>
      <w:r w:rsidRPr="00C914AD"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  <w:t>3. МЕТОДИКА ОПРЕДЕЛЕНИЯ СТОИМОСТИ РАБОТ ПО ОБСЛЕДОВАНИЮ И МОНИТОРИНГУ ТЕХНИЧЕСКОГО СОСТОЯНИЯ СТРОИТЕЛЬНЫХ КОНСТРУКЦИЙ И ИНЖЕНЕРНОГО ОБОРУДОВАНИЯ ЗДАНИЙ И СООРУЖЕНИЙ.</w:t>
      </w:r>
      <w:bookmarkEnd w:id="4"/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3.1. Стоимость работ по обследованию и мониторингу строительных конструкций и инженерного оборудования зданий и сооружений, осуществляемых с привлечением средств бюджета города Москвы, определяется по формуле: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24"/>
          <w:sz w:val="24"/>
          <w:szCs w:val="18"/>
          <w:lang w:eastAsia="ru-RU"/>
        </w:rPr>
        <w:lastRenderedPageBreak/>
        <w:drawing>
          <wp:inline distT="0" distB="0" distL="0" distR="0">
            <wp:extent cx="1818005" cy="393700"/>
            <wp:effectExtent l="0" t="0" r="0" b="0"/>
            <wp:docPr id="1" name="Рисунок 1" descr="http://files.stroyinf.ru/Data1/56/56966/x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stroyinf.ru/Data1/56/56966/x002.gif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                                                                                      (3.1.)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где: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С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то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- стоимость работ в текущих ценах;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Ц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бо</w:t>
      </w:r>
      <w:proofErr w:type="spellEnd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(2000)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- базовая цена работ в ценах 2000 года;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ср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- коэффициент, учитывающий полноту выполнения работы или комплекса работ. </w:t>
      </w:r>
      <w:proofErr w:type="spellStart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ср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определяется расчетом по данным долевого значения отдельных операций в общем объеме работ. Алгоритм расчета </w:t>
      </w:r>
      <w:proofErr w:type="spellStart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ср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представлен в </w:t>
      </w:r>
      <w:hyperlink r:id="rId59" w:anchor="i312747" w:tooltip="РАСЧЕТ значений коэффициента полноты выполнения работ Кср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приложении 1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position w:val="-24"/>
          <w:sz w:val="20"/>
          <w:szCs w:val="20"/>
          <w:lang w:eastAsia="ru-RU"/>
        </w:rPr>
        <w:drawing>
          <wp:inline distT="0" distB="0" distL="0" distR="0">
            <wp:extent cx="308610" cy="393700"/>
            <wp:effectExtent l="19050" t="0" r="0" b="0"/>
            <wp:docPr id="2" name="Рисунок 2" descr="http://files.stroyinf.ru/Data1/56/56966/x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stroyinf.ru/Data1/56/56966/x004.g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 - произведение корректирующих коэффициентов, учитывающих усложняющие (упрощающие) факторы, влияющие на трудоемкость выполнения работ, значения коэффициентов </w:t>
      </w:r>
      <w:proofErr w:type="spellStart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К</w:t>
      </w:r>
      <w:proofErr w:type="gramStart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i</w:t>
      </w:r>
      <w:proofErr w:type="spellEnd"/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представлены в разделе 1, табл. </w:t>
      </w:r>
      <w:hyperlink r:id="rId61" w:anchor="i34432" w:tooltip="nf,kbwf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1.2.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пер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- коэффициент пересчета базовой стоимости в текущий уровень цен, разрабатывается Департаментом экономической политики и развития города Москвы на плановый год с разбивкой по кварталам и принимается Межведомственным советом по ценовой политике в строительстве при Правительстве Москвы.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3.2. В случае отсутствия нормативных документов по ценообразованию на отдельные виды работ (услуг) при определении их стоимости, базовые цены </w:t>
      </w:r>
      <w:proofErr w:type="gramStart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Ц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(</w:t>
      </w:r>
      <w:proofErr w:type="gramEnd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б)2000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полученные на основании нормированных трудозатрат, рассчитываются в соответствии с «Методикой определения стоимости научных, нормативно-методических, проектных и других видов работ (услуг), осуществляемых с привлечением средств бюджета города Москвы (на основании нормируемых трудозатрат). </w:t>
      </w:r>
      <w:hyperlink r:id="rId62" w:tooltip="Методика определения стоимости научных, нормативно-методических, проектных и других видов работ (услуг) осуществляемых с привлечением средств бюджета города Москвы (на основании нормируемых трудозатрат)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МРР-3.2.67-09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».</w:t>
      </w:r>
    </w:p>
    <w:p w:rsidR="00C914AD" w:rsidRPr="00C914AD" w:rsidRDefault="00C914AD" w:rsidP="00C914AD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</w:pPr>
      <w:bookmarkStart w:id="5" w:name="i66820"/>
      <w:r w:rsidRPr="00C914AD"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  <w:t>4. БАЗОВЫЕ ЦЕНЫ НА РАБОТЫ ПО ОБСЛЕДОВАНИЮ ТЕХНИЧЕСКОГО СОСТОЯНИЯ СТРОИТЕЛЬНЫХ КОНСТРУКЦИЙ ЗДАНИЙ И СООРУЖЕНИЙ</w:t>
      </w:r>
      <w:bookmarkEnd w:id="5"/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914A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Обмерно-обследовательские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работы.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4.1. Обмерные работы, выполняются при обследовании зданий в объеме, необходимом для подготовки технических заключений по результатам обследования. Для принятия проектных решений они недостаточны.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4.1.1. Состав работы с разбивкой по составляющим ее видам в процентном соотношении представлен в таблице 4.1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i76545"/>
      <w:bookmarkEnd w:id="6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4.1.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753"/>
        <w:gridCol w:w="8141"/>
        <w:gridCol w:w="875"/>
      </w:tblGrid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№№ п.п.</w:t>
            </w:r>
          </w:p>
        </w:tc>
        <w:tc>
          <w:tcPr>
            <w:tcW w:w="4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Виды работ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%%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4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1.</w:t>
            </w:r>
          </w:p>
        </w:tc>
        <w:tc>
          <w:tcPr>
            <w:tcW w:w="41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Обследование фундаментов в открытых шурфах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6,1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1.1.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Обмеры и зарисовка вскрытых шурфами фундаментов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1.2.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Механическое опробование кладки и определение се состояния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1.3.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чертежей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2.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Конструктивное обследование здания с составлением: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2.1.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Разрезов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18,9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2.1.1.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Выборочные замеры конструкций для составления разрезов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2.1.2.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Графическое оформление результатов замеров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8,9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2.2.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Фасадов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10,9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2.2.1.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Выборочные замеры элементов фасада с фиксацией дефектов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5,У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2.2.2.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Графическое оформление результатов замеров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3.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Сверка с натурой плана этажа с нанесением обследовательских выработок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5,1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3.1.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Сверка и корректировка плана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3.2.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Нанесение выработок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3.3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чертежей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Обследование перекрытий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4.1.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Выборочные замеры элементом перекрытий с определением необходимых для расчетов размеров, нанесением дефектов и ме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 вскр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ытий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16,5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4.2.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чертежей перекрытий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10,4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5.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Обследование планов стропил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4,3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5.1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Замеры конструкций стропил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5.2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чертежей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Обследование лестниц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8,0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6.1.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Выборочные замеры конструкций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4,2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6.2.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чертежей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3,8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7.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Обследование узлов некрытых строительных конструкций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10,7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7.1.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Замеры узлов с определением состояния элементов конструкций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7.2.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чертежей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8.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Исследование поверхности кладки стен, столбов и колони, очищенных от штукатурки или облицовки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4,3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8.1.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Исследование кладки с определением ее системы, вида и качества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8.2.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Графическое оформление результатов обследования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9.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Обследование элементов стропил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4,8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9.1.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элементов в натуре с определением их состояния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9.2.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Графическое оформление результатов обследования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ИТОГО:</w:t>
            </w: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100</w:t>
            </w:r>
          </w:p>
        </w:tc>
      </w:tr>
    </w:tbl>
    <w:p w:rsidR="00C914AD" w:rsidRPr="00C914AD" w:rsidRDefault="00C914AD" w:rsidP="00C914A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Описание видов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обмерно-обследовательских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категориям сложности изложены в таблице 4.2.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4.2.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890"/>
        <w:gridCol w:w="1852"/>
        <w:gridCol w:w="5027"/>
      </w:tblGrid>
      <w:tr w:rsidR="00C914AD" w:rsidRPr="00C914AD" w:rsidTr="00C914AD">
        <w:trPr>
          <w:trHeight w:val="20"/>
          <w:jc w:val="center"/>
        </w:trPr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Состояние строительных конструкций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leader="dot" w:pos="1507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Категории сложности работ</w:t>
            </w:r>
          </w:p>
        </w:tc>
        <w:tc>
          <w:tcPr>
            <w:tcW w:w="2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before="100" w:beforeAutospacing="1" w:after="100" w:afterAutospacing="1" w:line="2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Состав работ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Независимо от состояния строительных конструкций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spacing w:before="100" w:beforeAutospacing="1" w:after="100" w:afterAutospacing="1" w:line="2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Обмерно-обследовательские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работы в объеме, необходимом для выполнения </w:t>
            </w: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визуального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экспертно-технического обследования зданий и сооружений. Составление паспортов зданий с выпуском чертежей, схем, планов и разрезов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Сверка с натурой имеющейся технической документации.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Удовлетворительное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II</w:t>
            </w:r>
          </w:p>
        </w:tc>
        <w:tc>
          <w:tcPr>
            <w:tcW w:w="2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Обмерно-обследовательские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работы, перечисленные в табл. 4.1, по зданиям с </w:t>
            </w: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однотипными конструкциями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перекрытий и покрытий с выявлением их состава и конструктивных схем зданий и сооружений, конструкций узлов сопряжения и примыкания конструкций и их элементов, армирования железобетонных конструкций, фиксацией дефектов конструкций, составлением чертежей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Неудовлетворительное (аварийное)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III</w:t>
            </w:r>
          </w:p>
        </w:tc>
        <w:tc>
          <w:tcPr>
            <w:tcW w:w="2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То же, что и для </w:t>
            </w: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II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категории, </w:t>
            </w: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 xml:space="preserve">только с разнотипными конструкциями 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перекрытий и покрытий Изучение эксплуатационной документации. Определение аварийных и наиболее опасных мест здания для подготовки противоаварийных охранных мер. Инструментальное обследование строительных конструкций с изготовлением чертежей, нанесение мест обрушения, гнили и повреждений на графический материал,</w:t>
            </w:r>
          </w:p>
        </w:tc>
      </w:tr>
    </w:tbl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4.1.3. Базовые цены, </w:t>
      </w:r>
      <w:proofErr w:type="spellStart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Ц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об</w:t>
      </w:r>
      <w:proofErr w:type="spellEnd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(2000)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на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обмерно-обследовательские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работы с учетом категории сложности здания (сооружения) и категорий сложности работ представлены в таблице 4.3.</w:t>
      </w:r>
    </w:p>
    <w:p w:rsidR="00C914AD" w:rsidRPr="00C914AD" w:rsidRDefault="00C914AD" w:rsidP="00C91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sectPr w:rsidR="00C914AD" w:rsidRPr="00C914AD">
          <w:pgSz w:w="12240" w:h="15840"/>
          <w:pgMar w:top="1134" w:right="850" w:bottom="1134" w:left="1701" w:header="720" w:footer="720" w:gutter="0"/>
          <w:cols w:space="720"/>
        </w:sectPr>
      </w:pP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i88105"/>
      <w:bookmarkEnd w:id="7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lastRenderedPageBreak/>
        <w:t>БАЗОВЫЕ ЦЕНЫ НА ВЫПОЛНЕНИЕ ОБМЕРНО-ОБСЛЕДОВАТЕЛЬСКИХ РАБОТ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4.3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40"/>
        <w:gridCol w:w="470"/>
        <w:gridCol w:w="294"/>
        <w:gridCol w:w="294"/>
        <w:gridCol w:w="470"/>
        <w:gridCol w:w="469"/>
        <w:gridCol w:w="293"/>
        <w:gridCol w:w="293"/>
        <w:gridCol w:w="469"/>
        <w:gridCol w:w="469"/>
        <w:gridCol w:w="293"/>
        <w:gridCol w:w="293"/>
        <w:gridCol w:w="469"/>
        <w:gridCol w:w="469"/>
        <w:gridCol w:w="293"/>
        <w:gridCol w:w="293"/>
        <w:gridCol w:w="469"/>
        <w:gridCol w:w="469"/>
        <w:gridCol w:w="292"/>
        <w:gridCol w:w="294"/>
        <w:gridCol w:w="469"/>
        <w:gridCol w:w="275"/>
        <w:gridCol w:w="311"/>
        <w:gridCol w:w="297"/>
        <w:gridCol w:w="289"/>
        <w:gridCol w:w="469"/>
      </w:tblGrid>
      <w:tr w:rsidR="00C914AD" w:rsidRPr="00C914AD" w:rsidTr="00C914AD">
        <w:trPr>
          <w:jc w:val="center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Категория сложности здания</w:t>
            </w:r>
          </w:p>
        </w:tc>
        <w:tc>
          <w:tcPr>
            <w:tcW w:w="461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 xml:space="preserve">Базовая цена в рублях на 100 куб.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 xml:space="preserve"> здания</w:t>
            </w:r>
          </w:p>
        </w:tc>
      </w:tr>
      <w:tr w:rsidR="00C914AD" w:rsidRPr="00C914AD" w:rsidTr="00C914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категория сложности работ</w:t>
            </w:r>
          </w:p>
        </w:tc>
      </w:tr>
      <w:tr w:rsidR="00C914AD" w:rsidRPr="00C914AD" w:rsidTr="00C914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</w:t>
            </w:r>
          </w:p>
        </w:tc>
        <w:tc>
          <w:tcPr>
            <w:tcW w:w="1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II</w:t>
            </w:r>
          </w:p>
        </w:tc>
        <w:tc>
          <w:tcPr>
            <w:tcW w:w="15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III</w:t>
            </w:r>
          </w:p>
        </w:tc>
      </w:tr>
      <w:tr w:rsidR="00C914AD" w:rsidRPr="00C914AD" w:rsidTr="00C914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Высота здания в метрах</w:t>
            </w:r>
          </w:p>
        </w:tc>
        <w:tc>
          <w:tcPr>
            <w:tcW w:w="1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Высота здания в метрах</w:t>
            </w:r>
          </w:p>
        </w:tc>
        <w:tc>
          <w:tcPr>
            <w:tcW w:w="15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Высота здания в метрах</w:t>
            </w:r>
          </w:p>
        </w:tc>
      </w:tr>
      <w:tr w:rsidR="00C914AD" w:rsidRPr="00C914AD" w:rsidTr="00C914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до 6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6 до 7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7 до 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8 до 9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до 6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6 до 7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7 до 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8 до 9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до 6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6 до 7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7 до 8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8 до 9</w:t>
            </w:r>
          </w:p>
        </w:tc>
      </w:tr>
      <w:tr w:rsidR="00C914AD" w:rsidRPr="00C914AD" w:rsidTr="00C914AD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190,82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171,75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154,56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139,11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265,79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239,20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215,29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193,77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318,94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287,04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258,35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232,53</w:t>
            </w:r>
          </w:p>
        </w:tc>
      </w:tr>
      <w:tr w:rsidR="00C914AD" w:rsidRPr="00C914AD" w:rsidTr="00C914AD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II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248,07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223,28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200,94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180,85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345,54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310,95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279,89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251,91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414,65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373,14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335,87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302,29</w:t>
            </w:r>
          </w:p>
        </w:tc>
      </w:tr>
      <w:tr w:rsidR="00C914AD" w:rsidRPr="00C914AD" w:rsidTr="00C914AD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Ш</w:t>
            </w:r>
            <w:proofErr w:type="gramEnd"/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322,48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290,26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261,22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235,14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449,19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404,24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363,85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327,47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539,02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485,09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436,61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392,96</w:t>
            </w:r>
          </w:p>
        </w:tc>
      </w:tr>
      <w:tr w:rsidR="00C914AD" w:rsidRPr="00C914AD" w:rsidTr="00C914AD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9 до 10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10 до 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11 до 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12 до 13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13 до 14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14 до 15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9 до 10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10 до 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11 до 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12 до 13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13 до 14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14 до 15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9 до 10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10 до 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11 до 12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12 до 13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13 до 14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14 до 15</w:t>
            </w:r>
          </w:p>
        </w:tc>
      </w:tr>
      <w:tr w:rsidR="00C914AD" w:rsidRPr="00C914AD" w:rsidTr="00C914AD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125,20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112,67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101,41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149,62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91,27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73,90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174,41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156,95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141,27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127,14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114,44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103,00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209,28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188,34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169,53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152,57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137,33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123,60</w:t>
            </w:r>
          </w:p>
        </w:tc>
      </w:tr>
      <w:tr w:rsidR="00C914AD" w:rsidRPr="00C914AD" w:rsidTr="00C914AD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II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162,76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146,49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131,83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118,65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106,77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96,08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226,73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204,03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183,66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165,29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148,79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133,90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272,08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244,83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220,40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198,35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178,54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160,67</w:t>
            </w:r>
          </w:p>
        </w:tc>
      </w:tr>
      <w:tr w:rsidR="00C914AD" w:rsidRPr="00C914AD" w:rsidTr="00C914AD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Ш</w:t>
            </w:r>
            <w:proofErr w:type="gramEnd"/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211,57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190,44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171,40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154,24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138,82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124,90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294,74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265,23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238,76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214,28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193,42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174,08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353,69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118,28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286,5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257,86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232,11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208,89</w:t>
            </w:r>
          </w:p>
        </w:tc>
      </w:tr>
      <w:tr w:rsidR="00C914AD" w:rsidRPr="00C914AD" w:rsidTr="00C914AD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15 до 16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16 до 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17 до 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18 до 19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19 до 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20 до 30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15 до 16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16 до 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17 до 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18 до 19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19 до 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20 до 30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15 до 16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16 до 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17 до 18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18 до 19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19 до 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20 до 30</w:t>
            </w:r>
          </w:p>
        </w:tc>
      </w:tr>
      <w:tr w:rsidR="00C914AD" w:rsidRPr="00C914AD" w:rsidTr="00C914AD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66,51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59,84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53,86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48,46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43,63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39,27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92,71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83,42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75,08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67,56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60,82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54,75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111,26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100,11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90,10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81,08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72,98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65,70</w:t>
            </w:r>
          </w:p>
        </w:tc>
      </w:tr>
      <w:tr w:rsidR="00C914AD" w:rsidRPr="00C914AD" w:rsidTr="00C914AD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II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86,47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77,79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70,02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63,00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56,72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51,06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120,51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108,46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97,61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87,85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79,06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71,16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144,61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130,15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117,13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105,41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94,87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85,39</w:t>
            </w:r>
          </w:p>
        </w:tc>
      </w:tr>
      <w:tr w:rsidR="00C914AD" w:rsidRPr="00C914AD" w:rsidTr="00C914AD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Ш</w:t>
            </w:r>
            <w:proofErr w:type="gramEnd"/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112,40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101,14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91,01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81,89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73,73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66,39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156,66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141,00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126,87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114,20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102,80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92,51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187,99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169,20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152,25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137,04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123,35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111,01</w:t>
            </w:r>
          </w:p>
        </w:tc>
      </w:tr>
      <w:tr w:rsidR="00C914AD" w:rsidRPr="00C914AD" w:rsidTr="00C914AD">
        <w:trPr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b/>
          <w:bCs/>
          <w:spacing w:val="40"/>
          <w:sz w:val="20"/>
          <w:szCs w:val="18"/>
          <w:lang w:eastAsia="ru-RU"/>
        </w:rPr>
        <w:t>Примечание:</w:t>
      </w:r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При высоте здания выше 30 м корректирующие коэффициенты см. п. 7 таблицы </w:t>
      </w:r>
      <w:hyperlink r:id="rId63" w:anchor="i34432" w:tooltip="таблица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1.2</w:t>
        </w:r>
      </w:hyperlink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>.</w:t>
      </w:r>
    </w:p>
    <w:p w:rsidR="00C914AD" w:rsidRPr="00C914AD" w:rsidRDefault="00C914AD" w:rsidP="00C9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C914AD" w:rsidRPr="00C914AD">
          <w:pgSz w:w="12240" w:h="15840"/>
          <w:pgMar w:top="1134" w:right="850" w:bottom="1134" w:left="1701" w:header="720" w:footer="720" w:gutter="0"/>
          <w:cols w:space="720"/>
        </w:sectPr>
      </w:pP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lastRenderedPageBreak/>
        <w:t>Базовые цены на выполнение инженерно-конструкторских работ.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4.2.1. Состав работы с разбивкой по составляющим ее видам в процентном отношении представлен в таблице 4.4.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i95078"/>
      <w:bookmarkEnd w:id="8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4.4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10"/>
        <w:gridCol w:w="8407"/>
        <w:gridCol w:w="752"/>
      </w:tblGrid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п.п.</w:t>
            </w:r>
          </w:p>
        </w:tc>
        <w:tc>
          <w:tcPr>
            <w:tcW w:w="4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и конструкций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%%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4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1.</w:t>
            </w:r>
          </w:p>
        </w:tc>
        <w:tc>
          <w:tcPr>
            <w:tcW w:w="430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Изучение имеющейся технической документации по объект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3,0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1.1.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Выезд на объект, подбор необходимой технической документации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1.2.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Поиск и подбор необходимой документации в фондах ГУН «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Мосгоргеотрест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» и в других архивах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1.3.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Изучение технической документации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2.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Обследование фундаментов в открытых шурфах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9,6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2.1.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грунтов основания и фундаментов с определением типа, конструкции и состояния фундаментов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2.2.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заключения о состоянии фундаментов и фунтов основания с выполнением необходимых расчетов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3,6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3.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Стены, внутренние отдельно стоящие опоры, перегородки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29,6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3.1.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конструкций с определением их технического состояния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3.2.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заключения о состоянии конструкций с выполнением необходимых расчетов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14,6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4.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Перекрытия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34,6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4.1.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конструкций с определением их технического состояния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10,6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4.2.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заключения о состоянии конструкций с выполнением необходимых расчетов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5.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Лестницы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10,1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5.1.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конструкций с определением их технического состояния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5.2.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заключения о состоянии конструкций с выполнением необходимых расчетов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6.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Фермы и стропила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9,1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6.1.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конструкций с определением их технического состояния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6.2.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заключения о состоянии конструкций с выполнением необходимых расчетов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7.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Кровля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4,0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7.1.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конструкций с определением их технического состояния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7.2.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заключения о состоянии кровли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</w:tbl>
    <w:p w:rsidR="00C914AD" w:rsidRPr="00C914AD" w:rsidRDefault="00C914AD" w:rsidP="00C914A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4.2.2. Описание видов инженерно-конструкторских работ по категориям сложности изложено в таблице 4.5.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4.5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2604"/>
        <w:gridCol w:w="1282"/>
        <w:gridCol w:w="5883"/>
      </w:tblGrid>
      <w:tr w:rsidR="00C914AD" w:rsidRPr="00C914AD" w:rsidTr="00C914AD">
        <w:trPr>
          <w:trHeight w:val="20"/>
          <w:jc w:val="center"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Состояние строительных конструкций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Категории сложности работ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 работ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Независимо от состояния строительных конструкций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spacing w:before="100" w:beforeAutospacing="1" w:after="100" w:afterAutospacing="1" w:line="2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I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1. Экспертно-техническое </w:t>
            </w: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визуальное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обследование зданий и сооружений с выдачей заключения.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Удовлетворительное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II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 Выявление объемов работ для составления договорной документации, изучение технической, производственной и эксплуатационной документации.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 Составление программы по определению действительного состояния строительных конструкций.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 Детальный осмотр строительных конструкций с зарисовкой и замерами дефектов и повреждений.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 Указание заказчику мест для отбора проб (образцов) материалов из строительных конструкций и грунтов оснований фундаментов для лабораторных испытаний.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 Фотографирование дефектов и повреждений.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6. Графическое оформление материалов обследования с указанием 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обнаруженных дефектов.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 Составление проверочных расчетов несущей способности строительных конструкций.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8. Составление заключения по результатам определения действительного состояния конструкций с выводами и рекомендациями по их дальнейшей эксплуатации</w:t>
            </w:r>
          </w:p>
        </w:tc>
      </w:tr>
      <w:tr w:rsidR="00C914AD" w:rsidRPr="00C914AD" w:rsidTr="00C914AD">
        <w:trPr>
          <w:trHeight w:val="4845"/>
          <w:jc w:val="center"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Неудовлетворительное или аварийное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III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 Выявление объемов работ для составления договорной документации и изучение технической, производственной и эксплуатационной документации.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 Составление программы по определению действительного состояния строительных конструкций.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 Составление дефектных ведомостей на поврежденные конструкции.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 Детальный осмотр строительных конструкций с зарисовкой дефектов и повреждений, их характер, степень аварийности.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 Указание заказчику мест для отбора проб (образцов) материалов из строительных конструкций и грунтов оснований фундаментов для лабораторных испытаний.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 Фотографирование видимых дефектов и повреждений.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 Графическое оформление материалов с указанием обнаруженных дефектов.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8. Составление проверочных расчетов по несущей способности строительных конструкций.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9. Разработка временных противоаварийных мероприятий.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10. Составление заключения по результатам определения действительного состояния конструкций с выводами и рекомендациям по их дальнейшей эксплуатации.</w:t>
            </w:r>
          </w:p>
        </w:tc>
      </w:tr>
    </w:tbl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4.2.3. Базовые цены </w:t>
      </w:r>
      <w:proofErr w:type="spellStart"/>
      <w:r w:rsidRPr="00C914A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Ц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20"/>
          <w:vertAlign w:val="subscript"/>
          <w:lang w:eastAsia="ru-RU"/>
        </w:rPr>
        <w:t>бо</w:t>
      </w:r>
      <w:proofErr w:type="spellEnd"/>
      <w:r w:rsidRPr="00C914AD">
        <w:rPr>
          <w:rFonts w:ascii="Times New Roman" w:eastAsia="Times New Roman" w:hAnsi="Times New Roman" w:cs="Times New Roman"/>
          <w:b/>
          <w:bCs/>
          <w:sz w:val="24"/>
          <w:szCs w:val="20"/>
          <w:vertAlign w:val="subscript"/>
          <w:lang w:eastAsia="ru-RU"/>
        </w:rPr>
        <w:t>(2000)</w:t>
      </w: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инженерно-конструкторские работы с учетом категорий сложности зданий и категорий сложности работ представлены в таблице 4.6.</w:t>
      </w:r>
    </w:p>
    <w:p w:rsidR="00C914AD" w:rsidRPr="00C914AD" w:rsidRDefault="00C914AD" w:rsidP="00C91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sectPr w:rsidR="00C914AD" w:rsidRPr="00C914AD">
          <w:pgSz w:w="12240" w:h="15840"/>
          <w:pgMar w:top="1134" w:right="850" w:bottom="1134" w:left="1701" w:header="720" w:footer="720" w:gutter="0"/>
          <w:cols w:space="720"/>
        </w:sectPr>
      </w:pP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i108153"/>
      <w:bookmarkEnd w:id="9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lastRenderedPageBreak/>
        <w:t xml:space="preserve">БАЗОВЫЕ ЦЕНЫ НА ВЫПОЛНЕНИЕ 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>ИНЖЕНЕРНО-КОНСТРУКТОРСКИХ РАБОТ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4.6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56"/>
        <w:gridCol w:w="442"/>
        <w:gridCol w:w="272"/>
        <w:gridCol w:w="283"/>
        <w:gridCol w:w="442"/>
        <w:gridCol w:w="442"/>
        <w:gridCol w:w="275"/>
        <w:gridCol w:w="280"/>
        <w:gridCol w:w="442"/>
        <w:gridCol w:w="480"/>
        <w:gridCol w:w="296"/>
        <w:gridCol w:w="297"/>
        <w:gridCol w:w="480"/>
        <w:gridCol w:w="480"/>
        <w:gridCol w:w="296"/>
        <w:gridCol w:w="297"/>
        <w:gridCol w:w="480"/>
        <w:gridCol w:w="480"/>
        <w:gridCol w:w="294"/>
        <w:gridCol w:w="298"/>
        <w:gridCol w:w="528"/>
        <w:gridCol w:w="275"/>
        <w:gridCol w:w="318"/>
        <w:gridCol w:w="298"/>
        <w:gridCol w:w="294"/>
        <w:gridCol w:w="480"/>
      </w:tblGrid>
      <w:tr w:rsidR="00C914AD" w:rsidRPr="00C914AD" w:rsidTr="00C914AD">
        <w:trPr>
          <w:jc w:val="center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Категория сложности здания</w:t>
            </w:r>
          </w:p>
        </w:tc>
        <w:tc>
          <w:tcPr>
            <w:tcW w:w="461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 xml:space="preserve">Базовая цена в рублях на 100 куб.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 xml:space="preserve"> здания</w:t>
            </w:r>
          </w:p>
        </w:tc>
      </w:tr>
      <w:tr w:rsidR="00C914AD" w:rsidRPr="00C914AD" w:rsidTr="00C914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категория сложности работ</w:t>
            </w:r>
          </w:p>
        </w:tc>
      </w:tr>
      <w:tr w:rsidR="00C914AD" w:rsidRPr="00C914AD" w:rsidTr="00C914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</w:t>
            </w:r>
          </w:p>
        </w:tc>
        <w:tc>
          <w:tcPr>
            <w:tcW w:w="15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II</w:t>
            </w:r>
          </w:p>
        </w:tc>
        <w:tc>
          <w:tcPr>
            <w:tcW w:w="15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III</w:t>
            </w:r>
          </w:p>
        </w:tc>
      </w:tr>
      <w:tr w:rsidR="00C914AD" w:rsidRPr="00C914AD" w:rsidTr="00C914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Высота здания в метрах</w:t>
            </w:r>
          </w:p>
        </w:tc>
        <w:tc>
          <w:tcPr>
            <w:tcW w:w="15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Высота здания в метрах</w:t>
            </w:r>
          </w:p>
        </w:tc>
        <w:tc>
          <w:tcPr>
            <w:tcW w:w="15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Высота здания в метрах</w:t>
            </w:r>
          </w:p>
        </w:tc>
      </w:tr>
      <w:tr w:rsidR="00C914AD" w:rsidRPr="00C914AD" w:rsidTr="00C914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до 6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6 до 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7 до 8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8 до 9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до 6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6 до 7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7 до 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8 до 9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до 6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6 до 7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7 до 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8 до 9</w:t>
            </w:r>
          </w:p>
        </w:tc>
      </w:tr>
      <w:tr w:rsidR="00C914AD" w:rsidRPr="00C914AD" w:rsidTr="00C914AD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38,32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35,26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32,43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29,83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368,86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339,03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311,90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286,97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442,63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401,12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374,64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344,66</w:t>
            </w:r>
          </w:p>
        </w:tc>
      </w:tr>
      <w:tr w:rsidR="00C914AD" w:rsidRPr="00C914AD" w:rsidTr="00C914AD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II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42,57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39,16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36,03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33,14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440,74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405,48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373,05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343,22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528,88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486,58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447,67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411,84</w:t>
            </w:r>
          </w:p>
        </w:tc>
      </w:tr>
      <w:tr w:rsidR="00C914AD" w:rsidRPr="00C914AD" w:rsidTr="00C914AD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Ш</w:t>
            </w:r>
            <w:proofErr w:type="gramEnd"/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44,73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41,16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37,86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34,81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493,95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454,44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418,09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384,64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592,74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545,33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501,70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461,58</w:t>
            </w:r>
          </w:p>
        </w:tc>
      </w:tr>
      <w:tr w:rsidR="00C914AD" w:rsidRPr="00C914AD" w:rsidTr="00C914AD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9 до 10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10 до 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11 до 12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12 до 13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13 до 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14 до 15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9 до 10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10 до 11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11 до 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12 до 13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13 до 14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14 до 15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9 до 10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10 до 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11 до 12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12 до 13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13 до 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14 до 15</w:t>
            </w:r>
          </w:p>
        </w:tc>
      </w:tr>
      <w:tr w:rsidR="00C914AD" w:rsidRPr="00C914AD" w:rsidTr="00C914AD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28,04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26,80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25,63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24,50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23,41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22,38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269,75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257,88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246,52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235,67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225,29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215,38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324,00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309,73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296,10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283,07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270,63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258,73</w:t>
            </w:r>
          </w:p>
        </w:tc>
      </w:tr>
      <w:tr w:rsidR="00C914AD" w:rsidRPr="00C914AD" w:rsidTr="00C914AD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II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31,16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29,77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28,48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27,21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24,85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322,60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308,39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294,84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281,86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269,46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257,60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387,14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370,10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1353,82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338,26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323,37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309,13</w:t>
            </w:r>
          </w:p>
        </w:tc>
      </w:tr>
      <w:tr w:rsidR="00C914AD" w:rsidRPr="00C914AD" w:rsidTr="00C914AD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Ш</w:t>
            </w:r>
            <w:proofErr w:type="gram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32,73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32,17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29,90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28,57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27,30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26,08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361,55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345,63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330,42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315,88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302,00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288,71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433,90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414,79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396,54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379,09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362,41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346,46</w:t>
            </w:r>
          </w:p>
        </w:tc>
      </w:tr>
      <w:tr w:rsidR="00C914AD" w:rsidRPr="00C914AD" w:rsidTr="00C914AD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15 до 16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16 до 17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17 до 18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18 до 19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19 до 20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20 до 30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15 до 16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16 до 17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17 до 18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18 до 19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19 до 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20 до 30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15 до 16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16 до 17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17 до 18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18 до 19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19 до 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выше 20 до 30</w:t>
            </w:r>
          </w:p>
        </w:tc>
      </w:tr>
      <w:tr w:rsidR="00C914AD" w:rsidRPr="00C914AD" w:rsidTr="00C914AD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21,02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19,22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18,37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17,57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16,80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205,92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196,87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188,20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179,92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171,99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164,41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247,34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236,46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226,06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216,12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206,23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197,52</w:t>
            </w:r>
          </w:p>
        </w:tc>
      </w:tr>
      <w:tr w:rsidR="00C914AD" w:rsidRPr="00C914AD" w:rsidTr="00C914AD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II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23,34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22,31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21,34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20,40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19,49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18,64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246,28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235,43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225,08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215,18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205,71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196,66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295,55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282,55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270,10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258,23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246,87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236,03</w:t>
            </w:r>
          </w:p>
        </w:tc>
      </w:tr>
      <w:tr w:rsidR="00C914AD" w:rsidRPr="00C914AD" w:rsidTr="00C914AD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Ш</w:t>
            </w:r>
            <w:proofErr w:type="gram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24,53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23,44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22,41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21,44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20,49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19,57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276,00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263,85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252,24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241,15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230,54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220,40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331,22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316,65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302,72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289,38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276,64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264,48</w:t>
            </w:r>
          </w:p>
        </w:tc>
      </w:tr>
      <w:tr w:rsidR="00C914AD" w:rsidRPr="00C914AD" w:rsidTr="00C914AD">
        <w:trPr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b/>
          <w:bCs/>
          <w:spacing w:val="40"/>
          <w:sz w:val="20"/>
          <w:szCs w:val="16"/>
          <w:lang w:eastAsia="ru-RU"/>
        </w:rPr>
        <w:t>Примечание:</w:t>
      </w:r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При высоте здания выше 30 м корректирующие коэффициенты см. п. 7 таблицы </w:t>
      </w:r>
      <w:hyperlink r:id="rId64" w:anchor="i34432" w:tooltip="Корректирующие коэффициенты к базовым ценам на работы по обследованию технического состояния строительных конструкций зданий и сооруже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1.2</w:t>
        </w:r>
      </w:hyperlink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>.</w:t>
      </w:r>
    </w:p>
    <w:p w:rsidR="00C914AD" w:rsidRPr="00C914AD" w:rsidRDefault="00C914AD" w:rsidP="00C91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C914AD" w:rsidRPr="00C914AD">
          <w:pgSz w:w="12240" w:h="15840"/>
          <w:pgMar w:top="1134" w:right="850" w:bottom="1134" w:left="1701" w:header="720" w:footer="720" w:gutter="0"/>
          <w:cols w:space="720"/>
        </w:sectPr>
      </w:pPr>
    </w:p>
    <w:p w:rsidR="00C914AD" w:rsidRPr="00C914AD" w:rsidRDefault="00C914AD" w:rsidP="00C914AD">
      <w:pPr>
        <w:tabs>
          <w:tab w:val="left" w:leader="underscore" w:pos="249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4.3. Базовые цены на обследование строительных конструкций неразрушающими методами.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4.3.1. Базовые цены </w:t>
      </w:r>
      <w:proofErr w:type="spellStart"/>
      <w:r w:rsidRPr="00C914A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Ц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20"/>
          <w:vertAlign w:val="subscript"/>
          <w:lang w:eastAsia="ru-RU"/>
        </w:rPr>
        <w:t>бо</w:t>
      </w:r>
      <w:proofErr w:type="spellEnd"/>
      <w:r w:rsidRPr="00C914AD">
        <w:rPr>
          <w:rFonts w:ascii="Times New Roman" w:eastAsia="Times New Roman" w:hAnsi="Times New Roman" w:cs="Times New Roman"/>
          <w:b/>
          <w:bCs/>
          <w:sz w:val="24"/>
          <w:szCs w:val="20"/>
          <w:vertAlign w:val="subscript"/>
          <w:lang w:eastAsia="ru-RU"/>
        </w:rPr>
        <w:t>(2000)</w:t>
      </w: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выполнение обследования строительных конструкций неразрушающими методами принимаются по таблице 4.7.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i113821"/>
      <w:bookmarkEnd w:id="10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4.7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589"/>
        <w:gridCol w:w="5604"/>
        <w:gridCol w:w="1602"/>
        <w:gridCol w:w="1640"/>
      </w:tblGrid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№№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0"/>
                <w:lang w:eastAsia="ru-RU"/>
              </w:rPr>
              <w:t>пп</w:t>
            </w:r>
            <w:proofErr w:type="spellEnd"/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Виды работ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Единица измерения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Цена за единицу измерения (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руб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)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</w:t>
            </w: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Определение прочности бетона и кирпича в готовых строительных конструкциях ультразвуковым методом с составлением выводов о прочности материала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Одно место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106,75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</w:t>
            </w:r>
          </w:p>
        </w:tc>
        <w:tc>
          <w:tcPr>
            <w:tcW w:w="29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Определение прочности бетона, кирпича и раствора в готовых строительных конструкциях методом пластической деформации с составлением выводов о прочности материалов</w:t>
            </w:r>
          </w:p>
        </w:tc>
        <w:tc>
          <w:tcPr>
            <w:tcW w:w="84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- « -</w:t>
            </w:r>
          </w:p>
        </w:tc>
        <w:tc>
          <w:tcPr>
            <w:tcW w:w="8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73,18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</w:t>
            </w:r>
          </w:p>
        </w:tc>
        <w:tc>
          <w:tcPr>
            <w:tcW w:w="29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Определение прочности бетона, кирпича и раствора в готовых строительных конструкциях ударно-импульсивным методом (молотком Шмидта) с составлением выводов о прочности материалов</w:t>
            </w:r>
          </w:p>
        </w:tc>
        <w:tc>
          <w:tcPr>
            <w:tcW w:w="84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- « -</w:t>
            </w:r>
          </w:p>
        </w:tc>
        <w:tc>
          <w:tcPr>
            <w:tcW w:w="8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80,50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</w:t>
            </w:r>
          </w:p>
        </w:tc>
        <w:tc>
          <w:tcPr>
            <w:tcW w:w="29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Определение армирования строительных конструкций магнитным прибором с изготовлением чертежей</w:t>
            </w:r>
          </w:p>
        </w:tc>
        <w:tc>
          <w:tcPr>
            <w:tcW w:w="84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Одно поперечное сечение несущего элемента</w:t>
            </w:r>
          </w:p>
        </w:tc>
        <w:tc>
          <w:tcPr>
            <w:tcW w:w="8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99,94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</w:t>
            </w:r>
          </w:p>
        </w:tc>
        <w:tc>
          <w:tcPr>
            <w:tcW w:w="29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перекрытий и других конструкций металлоискателем с изготовлением чертежей</w:t>
            </w:r>
          </w:p>
        </w:tc>
        <w:tc>
          <w:tcPr>
            <w:tcW w:w="84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 кв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площади</w:t>
            </w:r>
          </w:p>
        </w:tc>
        <w:tc>
          <w:tcPr>
            <w:tcW w:w="8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104,95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</w:t>
            </w:r>
          </w:p>
        </w:tc>
        <w:tc>
          <w:tcPr>
            <w:tcW w:w="29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Определение прочности бетона методом отрыва со скалыванием и составлением выводов о прочности материала</w:t>
            </w:r>
          </w:p>
        </w:tc>
        <w:tc>
          <w:tcPr>
            <w:tcW w:w="84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одно испытание</w:t>
            </w:r>
          </w:p>
        </w:tc>
        <w:tc>
          <w:tcPr>
            <w:tcW w:w="8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289,51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</w:t>
            </w:r>
          </w:p>
        </w:tc>
        <w:tc>
          <w:tcPr>
            <w:tcW w:w="29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Отбор образцов стеновых материалов из конструкций, естественного камня, шлакобетонных и бетонных камней (10 шт. кирпича и раствора в плитках для склеивания 5-ти кубиков)</w:t>
            </w:r>
          </w:p>
        </w:tc>
        <w:tc>
          <w:tcPr>
            <w:tcW w:w="8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партия</w:t>
            </w:r>
          </w:p>
        </w:tc>
        <w:tc>
          <w:tcPr>
            <w:tcW w:w="8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99,38</w:t>
            </w:r>
          </w:p>
        </w:tc>
      </w:tr>
    </w:tbl>
    <w:p w:rsidR="00C914AD" w:rsidRPr="00C914AD" w:rsidRDefault="00C914AD" w:rsidP="00C914AD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На цены по работам, приведенным в таблице 4.7, вводятся следующие коэффициенты: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u w:val="single"/>
          <w:lang w:eastAsia="ru-RU"/>
        </w:rPr>
        <w:t>позиции 1, 2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а) при испытании в одном месте методом пластической деформации и ультразвуковым методом к стоимости на метод пластической деформации - К = 0,80;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u w:val="single"/>
          <w:lang w:eastAsia="ru-RU"/>
        </w:rPr>
        <w:t>позиция 3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а) при обследовании конструкций из кирпича, армированных горизонтальными сетками, требуется детальное определение 2-х сеток - К = 1,25;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u w:val="single"/>
          <w:lang w:eastAsia="ru-RU"/>
        </w:rPr>
        <w:t>позиция 4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а) при обследовании деревянных перекрытий по деревянным балкам - К = 0,50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б) при обследовании железобетонных перекрытий по скрытым стальным балкам - К = 1,30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4.4. Базовые цены на лабораторные испытания строительных материалов, отобранных из конструкций.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4.4.1. Базовые цены </w:t>
      </w:r>
      <w:proofErr w:type="spellStart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Ц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бо</w:t>
      </w:r>
      <w:proofErr w:type="spellEnd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(2000)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на лабораторные и другие работы принимаются по таблице 4.8.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i125181"/>
      <w:bookmarkEnd w:id="11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4.8.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588"/>
        <w:gridCol w:w="5229"/>
        <w:gridCol w:w="1927"/>
        <w:gridCol w:w="1691"/>
      </w:tblGrid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№№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2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 работ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Единица измерения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Стоимость (руб.)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2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</w:t>
            </w:r>
          </w:p>
        </w:tc>
        <w:tc>
          <w:tcPr>
            <w:tcW w:w="27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Определение прочности бетона на сжатие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Один образец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123,20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</w:t>
            </w:r>
          </w:p>
        </w:tc>
        <w:tc>
          <w:tcPr>
            <w:tcW w:w="2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Определение прочности раствора на сжатие</w:t>
            </w: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Один образец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161,21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</w:t>
            </w:r>
          </w:p>
        </w:tc>
        <w:tc>
          <w:tcPr>
            <w:tcW w:w="2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Определение прочности естественного камня на сжатие</w:t>
            </w: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Один образец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105,43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2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Установка и снятие маяков для наблюдения за деформацией зданий</w:t>
            </w: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Один маяк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94,37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</w:t>
            </w:r>
          </w:p>
        </w:tc>
        <w:tc>
          <w:tcPr>
            <w:tcW w:w="2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Наблюдение за деформациями зданий при помощи маяков</w:t>
            </w: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Одно наблюдение за одним маяком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39,81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</w:t>
            </w:r>
          </w:p>
        </w:tc>
        <w:tc>
          <w:tcPr>
            <w:tcW w:w="2771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Зондирование каменной кладки, бетонных и железобетонных конструкций перфоратором</w:t>
            </w: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Одно зондирование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гл. до 0,5м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132,37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гл. до 1 м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201,30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гл. 1,5 м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268,40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гл. 2,0 м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311,10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Испытание на вырыв анкеров и дюбелей из стены на фасадных конструкциях</w:t>
            </w:r>
            <w:proofErr w:type="gramEnd"/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Одно испытание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168,53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8.</w:t>
            </w:r>
          </w:p>
        </w:tc>
        <w:tc>
          <w:tcPr>
            <w:tcW w:w="2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Размножение и брошюровка технического заключения в 1 экземпляре</w:t>
            </w: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Один экземпляр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279,11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9.</w:t>
            </w:r>
          </w:p>
        </w:tc>
        <w:tc>
          <w:tcPr>
            <w:tcW w:w="2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Фотографирование строительных конструкций*</w:t>
            </w: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Один снимок (5 позитивов)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159,15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10.</w:t>
            </w:r>
          </w:p>
        </w:tc>
        <w:tc>
          <w:tcPr>
            <w:tcW w:w="2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Вскрытие конструкций без обратной заделки:</w:t>
            </w: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Одно вскрытие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471,90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ind w:firstLine="2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а) вскрытие деревянных конструкций, в т.ч. полов, наката, настила, обшивки, обрешетки и т.п.</w:t>
            </w:r>
            <w:proofErr w:type="gramEnd"/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ind w:firstLine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б) вскрытие бетонных конструкций, кирпичной и каменной кладки</w:t>
            </w: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566,28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ind w:firstLine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в) вскрытие элементов железобетонных конструкций (за элемент железобетонной конструкции принимается один вскрытый стержень арматуры, одни профиль жесткой арматуры)</w:t>
            </w: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559,61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ind w:firstLine="2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г) отбивка штукатурки для обследования деревянных, каменных, металлических и железобетонных конструкций.</w:t>
            </w:r>
          </w:p>
        </w:tc>
        <w:tc>
          <w:tcPr>
            <w:tcW w:w="10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400,77</w:t>
            </w:r>
          </w:p>
        </w:tc>
      </w:tr>
    </w:tbl>
    <w:p w:rsidR="00C914AD" w:rsidRPr="00C914AD" w:rsidRDefault="00C914AD" w:rsidP="00C914AD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20"/>
          <w:lang w:eastAsia="ru-RU"/>
        </w:rPr>
        <w:t>*)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>1) При количестве снимков от 31 и более стоимость их изготовления определяется по формуле: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>С</w:t>
      </w:r>
      <w:r w:rsidRPr="00C914AD">
        <w:rPr>
          <w:rFonts w:ascii="Times New Roman" w:eastAsia="Times New Roman" w:hAnsi="Times New Roman" w:cs="Times New Roman"/>
          <w:sz w:val="20"/>
          <w:szCs w:val="18"/>
          <w:vertAlign w:val="subscript"/>
          <w:lang w:eastAsia="ru-RU"/>
        </w:rPr>
        <w:t>31 и более</w:t>
      </w:r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= 159,15·</w:t>
      </w:r>
      <w:proofErr w:type="spellStart"/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>n</w:t>
      </w:r>
      <w:proofErr w:type="spellEnd"/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>·К</w:t>
      </w:r>
      <w:r w:rsidRPr="00C914AD">
        <w:rPr>
          <w:rFonts w:ascii="Times New Roman" w:eastAsia="Times New Roman" w:hAnsi="Times New Roman" w:cs="Times New Roman"/>
          <w:sz w:val="20"/>
          <w:szCs w:val="18"/>
          <w:vertAlign w:val="subscript"/>
          <w:lang w:eastAsia="ru-RU"/>
        </w:rPr>
        <w:t>31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>где: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>159,15 - стоимость изготовления 1 снимка (5 позитивов);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>n</w:t>
      </w:r>
      <w:proofErr w:type="spellEnd"/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- общее количество снимков;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sz w:val="20"/>
          <w:szCs w:val="18"/>
          <w:vertAlign w:val="subscript"/>
          <w:lang w:eastAsia="ru-RU"/>
        </w:rPr>
        <w:t>31 и более</w:t>
      </w:r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- понижающий коэффициент, рассчитанный по формуле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sz w:val="20"/>
          <w:szCs w:val="18"/>
          <w:vertAlign w:val="subscript"/>
          <w:lang w:eastAsia="ru-RU"/>
        </w:rPr>
        <w:t>31 и более</w:t>
      </w:r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= 0,9-[(n-6): 100];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>2) При количестве снимков более 45 стоимость их изготовления принимается равной стоимости изготовления 45 снимков.</w:t>
      </w:r>
    </w:p>
    <w:p w:rsidR="00C914AD" w:rsidRPr="00C914AD" w:rsidRDefault="00C914AD" w:rsidP="00C914AD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</w:pPr>
      <w:bookmarkStart w:id="12" w:name="i142460"/>
      <w:bookmarkStart w:id="13" w:name="i138263"/>
      <w:bookmarkEnd w:id="12"/>
      <w:bookmarkEnd w:id="13"/>
      <w:r w:rsidRPr="00C914AD"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  <w:t>5. БАЗОВЫЕ ЦЕНЫ НА РАБОТЫ ПО ОБСЛЕДОВАНИЮ ТЕХНИЧЕСКОГО СОСТОЯНИЯ ИНЖЕНЕРНОГО ОБОРУДОВАНИЯ И МОНИТОРИНГУ ТЕХНИЧЕСКОГО СОСТОЯНИЯ ЗДАНИЙ И СООРУЖЕНИЙ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5.1. Базовые цены и поправочные коэффициенты, приведенные в настоящем разделе, распространяются только на работы по обследованию и мониторингу технического состояния инженерного оборудования и мониторингу технического состояния зданий и сооружений.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5.2. Обследование технического состояния инженерного оборудования осуществляется при комплексном обследовании технического состояния зданий и сооружений и включает: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определение фактического технического состояния системы;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выявление дефектов, повреждений и неисправностей;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количественную оценку физического износа систем инженерного оборудования;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количественную оценку морального износа систем инженерного оборудования;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определение морального износа жилых зданий при отсутствии отдельных видов инженерного оборудования;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установление отклонений от проекта и нормативных требований;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- оценку коррозионного состояния внутренних трубопроводов;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отбор образцов из стояков, подводок к нагревательным приборам и т.п. для 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>определения максимальной глубины коррозионного поражения и величины сужения живого сечения.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Базовые цены на выполнение работ по обследованию технического состояния инженерного оборудования.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4" w:name="i158512"/>
      <w:bookmarkEnd w:id="14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5.1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516"/>
        <w:gridCol w:w="6025"/>
        <w:gridCol w:w="1526"/>
        <w:gridCol w:w="1368"/>
      </w:tblGrid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 xml:space="preserve">№№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</w:t>
            </w:r>
            <w:proofErr w:type="spellEnd"/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 работы (операции)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Единица измерения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Стоимость, БЦ (2000) (тыс. руб.)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1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1. Обследование систем горячего водоснабжения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технического состояния элементов системы согласно соответствующего МГСН. Описание системы. Обследование трубопроводов и установление дефектов.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Количество квартир в доме, шт.,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1.1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0,207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1.2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0,309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1.3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0,344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1.4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0,759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1.5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0,966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1.6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1,207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1.7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1.484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1.8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1,759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1.9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1.932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1.10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 каждые последующие 10 квартир, добавлять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0,206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1.11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Замеры температуры воды, свободного напора, уклона прокладки магистральных труб и др.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место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0,356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caps/>
                <w:sz w:val="20"/>
                <w:szCs w:val="28"/>
                <w:lang w:eastAsia="ru-RU"/>
              </w:rPr>
              <w:t>1.12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отчетных материалов.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технич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 заключение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1,645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2. Обследование систем отопления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технического состояния элементов системы согласно соответствующего МГСН. Описание системы. Выявление неисправностей и дефектов трубопроводов, стояков, подводок и т.п.;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Объем здания тыс.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2.1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0,863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2.2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1,518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2.3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2,415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2.4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3,278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2.5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3,969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2.6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4,832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2.7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 каждые последующие 5 тыс.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добавлять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0,689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2.8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Замеры температуры наружного воздуха и воздуха в отапливаемых помещениях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помещение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0,178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2.9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Замеры температуры волы в подающем трубопроводе и в обратном трубопроводе.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место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0,035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2.10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Замеры уклонов разводящих трубопроводов.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место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0,345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2.11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Замеры давления в системе.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место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0,035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2.12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отчетных материалов.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технич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 заключение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2,019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3. Обследование систем холодного водоснабжения и канализации без ванн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технического состояния элементов системы согласно соответствующего МГСН. Описание системы. Обследование трубопроводов с установлением дефектов.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Количество квартир в доме, шт.,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3.1</w:t>
            </w:r>
            <w:bookmarkStart w:id="15" w:name="i164926"/>
            <w:bookmarkEnd w:id="15"/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0,240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3.2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0,344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3.3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0,484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3.4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0,828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3.5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1,069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3.6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1,346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3.7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1,656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3.8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1,966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3.9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2,138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3.10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 каждые последующие 10 квартир, добавлять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0,240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Замеры давления в подающем трубопроводе и свободного напора у водоразборных крапов.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место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0,356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3.12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Проверка трассировки трубопроводов.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leader="underscore" w:pos="283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1000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0,178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3.13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Замеры уклонов горизонтальных участков.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место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0,178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3.14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Проверочный расчет диаметра выпуска трубопроводов.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расчет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0,209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3.15</w:t>
            </w:r>
            <w:bookmarkStart w:id="16" w:name="i176783"/>
            <w:bookmarkEnd w:id="16"/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отчетных материалов.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технич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 заключение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1,636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4.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Обследованис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 систем вентиляции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технического состояния элементов системы согласно соответствующего МГСП. Описание конструктивного решения системы. Выявление дефектов (герметичности, целостности, соответствия сечения проектному решению) и т.д.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Объем здания тыс.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4.1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0,966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4.2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2,209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4.3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3,451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4.4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4,382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4.5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5,210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4.6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6,558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4.7.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 каждые последующие 5 тыс.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 xml:space="preserve">3 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добавлять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1,104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4.8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Инструментальные замеры объемов вытяжки воздуха.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помещение, имеющее вентиляционный выход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0,207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4.9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Проверка проходимости вентиляционных и дымовых каналов.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канал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0,207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4.10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отчетных материалов.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отчет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2.023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5. Обследование систем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мусороудаления</w:t>
            </w:r>
            <w:proofErr w:type="spellEnd"/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технического состояния элементов системы согласно соответствующего M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CH. Обследование ствола, загрузочных клапанов, шибера. Проверка целостности и герметичности стыковых соединений ствола и загрузочных клапанов. Проверка нарушения плотности притвора и запора двери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мусорокамеры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и т.д.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Объем здания тыс.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5.1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0,966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5.2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2,209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5.3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3,451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5.4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4,382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5.5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5,210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5.6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6,558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5.7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 каждые последующие 5 тыс.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добавлять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1,104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5.8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отчетных материалов.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отчет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1,725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6. Обследование систем газоснабжения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технического состояния элементов системы согласно соответствующего МГСН. Описание конструктивной схемы газового ввода в здание и изучение технической документации на газопроводы. Установление соответствия проекту существующей системы газоснабжения. Оценка технического состояния трубопроводов с выявлением дефектов.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Количество квартир в доме, </w:t>
            </w:r>
            <w:proofErr w:type="spellStart"/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шт</w:t>
            </w:r>
            <w:proofErr w:type="spellEnd"/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6.1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0,207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6.2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0,276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6.3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0,379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6.4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0,656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6.5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0,862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6.6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1,069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6.7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1.312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6.8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1,587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6.9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1,725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6.10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 каждые последующие 10 квартир, добавлять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0,207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6.11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Проверка работы системы вентиляции и газоходов.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канал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0,207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6.12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отчетных материалов.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заключение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1,642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7. Обследование состояния водостоков.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технического состояния элементов водостоков согласно соответствующего МГСН. Описание конструктивной системы. Выявление неисправностей и повреждений водоотводящих устройств.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Объем здания тыс.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7.1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0,402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7.2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0,920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7.3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1,439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7.4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1,823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7.5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2,171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7.6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2,732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3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 каждые последующие 10 квартир, добавлять</w:t>
            </w:r>
          </w:p>
        </w:tc>
        <w:tc>
          <w:tcPr>
            <w:tcW w:w="7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0,457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7.8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чердаков и кровель для установления причин образования конденсата и наледей.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1000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1,725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7.9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отчетных материалов.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заключение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1,642</w:t>
            </w:r>
          </w:p>
        </w:tc>
      </w:tr>
    </w:tbl>
    <w:p w:rsidR="00C914AD" w:rsidRPr="00C914AD" w:rsidRDefault="00C914AD" w:rsidP="00C914AD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b/>
          <w:bCs/>
          <w:spacing w:val="40"/>
          <w:sz w:val="20"/>
          <w:szCs w:val="16"/>
          <w:lang w:eastAsia="ru-RU"/>
        </w:rPr>
        <w:t>Примечания: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>1. Цены таблицы 5.1 допускается применять при проектировании полной замены санитарно-технических сетей, для определения объема демонтажа (без вычерчивания) с коэффициентом 0,6.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>2. Цены таблицы 5.1 не учитывают снятие с натуры скрытой прокладки трубопроводов. Снятие с натуры скрытой прокладки нормировать по ценам таблицы с коэффициентом 1,2.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3. При наличии в доме ванн цены таблицы (поз. </w:t>
      </w:r>
      <w:hyperlink r:id="rId65" w:anchor="i164926" w:tooltip="пункт 3.1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3.1</w:t>
        </w:r>
      </w:hyperlink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>-</w:t>
      </w:r>
      <w:hyperlink r:id="rId66" w:anchor="i176783" w:tooltip="Составление отчетных материалов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3.15</w:t>
        </w:r>
      </w:hyperlink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>) на снятие с натуры сетей холодного водоснабжения и канализации применять с коэффициентом 1,3.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>4. При наличии в доме ванн с водонагревателями к ценам таблицы (поз. 6.1-6.12)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>на снятие с натуры сетей газоснабжения применять коэффициент 0,4.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>5. При съемке с натуры только приборов отопления, санитарных или газовых приборов к ценам таблицы применять коэффициент 0,4.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6. При съемке с натуры только системы холодного водоснабжения или канализации к ценам таблицы (поз. </w:t>
      </w:r>
      <w:hyperlink r:id="rId67" w:anchor="i164926" w:tooltip="пункт 3.1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3.1</w:t>
        </w:r>
      </w:hyperlink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>-</w:t>
      </w:r>
      <w:hyperlink r:id="rId68" w:anchor="i176783" w:tooltip="Составление отчетных материалов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3.15</w:t>
        </w:r>
      </w:hyperlink>
      <w:r w:rsidRPr="00C914AD">
        <w:rPr>
          <w:rFonts w:ascii="Times New Roman" w:eastAsia="Times New Roman" w:hAnsi="Times New Roman" w:cs="Times New Roman"/>
          <w:sz w:val="20"/>
          <w:szCs w:val="16"/>
          <w:lang w:eastAsia="ru-RU"/>
        </w:rPr>
        <w:t>) применять коэффициент 0,8.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5.2. Обследование </w:t>
      </w:r>
      <w:r w:rsidRPr="00C914AD">
        <w:rPr>
          <w:rFonts w:ascii="Times New Roman" w:eastAsia="Times New Roman" w:hAnsi="Times New Roman" w:cs="Times New Roman"/>
          <w:sz w:val="24"/>
          <w:szCs w:val="18"/>
          <w:u w:val="single"/>
          <w:lang w:eastAsia="ru-RU"/>
        </w:rPr>
        <w:t>технического состояния электрических сетей и сре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u w:val="single"/>
          <w:lang w:eastAsia="ru-RU"/>
        </w:rPr>
        <w:t>дств св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u w:val="single"/>
          <w:lang w:eastAsia="ru-RU"/>
        </w:rPr>
        <w:t>язи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состоит в обследовании электрооборудования зданий и сооружений.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Базовые цены на обследование состояния электрических сетей и сре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дств св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язи.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5.2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589"/>
        <w:gridCol w:w="6191"/>
        <w:gridCol w:w="1378"/>
        <w:gridCol w:w="1277"/>
      </w:tblGrid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№№ п.п.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Наименование работы (операции)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Единица измерения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Стоимость, БЦ (2000) (тыс. руб.)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1.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Обследование состояния электрических сетей и сре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дств св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язи согласно соответствующего МГСН. Проверка исправности шкафов вводных и вводно-распределительных устройств; внутридомовых электрических сетей питания, этажных щитков и шкафов; осветительных установок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общедомовых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помещений, включая светильники; электрических установок систем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дымоудаления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 автоматической сигнализации внутреннего пожарного водопровода, грузовых и пассажирских лифтов; автоматически запирающихся устройств (АЗУ) дверей дома и пр. Выявление неисправностей, повреждений, следов ремонтов и др.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1000 м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2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 xml:space="preserve"> 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здания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1,121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отчетных материалов.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заключение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1,011</w:t>
            </w:r>
          </w:p>
        </w:tc>
      </w:tr>
    </w:tbl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Поправочные коэффициенты к базовым ценам по обследованию технического состояния инженерного оборудования, электрических сетей и сре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дств св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язи (к табл. </w:t>
      </w:r>
      <w:hyperlink r:id="rId69" w:anchor="i158512" w:tooltip="Базовые цены на выполнение работ по обследованию технического состояния инженерного оборудования." w:history="1">
        <w:r w:rsidRPr="00C914AD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5.1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, 5.2)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7" w:name="i184619"/>
      <w:bookmarkEnd w:id="17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>Таблица 5.3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589"/>
        <w:gridCol w:w="6880"/>
        <w:gridCol w:w="1966"/>
      </w:tblGrid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№№ 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п.п.</w:t>
            </w:r>
          </w:p>
        </w:tc>
        <w:tc>
          <w:tcPr>
            <w:tcW w:w="3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Количество выполняемых однотипных работ по обследованию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Поправочный коэффициент к базовой цене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 видов работ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0,1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</w:t>
            </w:r>
          </w:p>
        </w:tc>
        <w:tc>
          <w:tcPr>
            <w:tcW w:w="3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 9  -«-«-«-«-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0,2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</w:t>
            </w:r>
          </w:p>
        </w:tc>
        <w:tc>
          <w:tcPr>
            <w:tcW w:w="3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 8  -«-«-«-«-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0,3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 7  -«-«-«-«-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0,4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 6  -«-«-«-«-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0,5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 5  -«-«-«-«-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0,6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 4  -«-«-«-«-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0,7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 3  -«-«-«-«-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0,8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 2  -«-«-«-«-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0,9</w:t>
            </w:r>
          </w:p>
        </w:tc>
      </w:tr>
    </w:tbl>
    <w:p w:rsidR="00C914AD" w:rsidRPr="00C914AD" w:rsidRDefault="00C914AD" w:rsidP="00C914AD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i198347"/>
      <w:bookmarkEnd w:id="18"/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5.3. </w:t>
      </w:r>
      <w:r w:rsidRPr="00C914A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Обследование звукоизоляции ограждающих конструкций.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5.3.1. Обследование звукоизоляции стен, перегородок, междуэтажных перекрытий, дверей и наружных ограждающих конструкций.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5.3.2. Натурные измерения звукоизоляции;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5.3.3. Определение значения индексов изоляции воздушного шума, приведенного уровня ударного шума;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5.3.4. Определение соответствия звукоизоляции конструкций нормативным требованиям и др.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Базовые цены на обследование звукоизоляции стен, перегородок, междуэтажных перекрытий, дверей и наружных ограждающих конструкций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9" w:name="i205198"/>
      <w:bookmarkEnd w:id="19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5.4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538"/>
        <w:gridCol w:w="6276"/>
        <w:gridCol w:w="1357"/>
        <w:gridCol w:w="1264"/>
      </w:tblGrid>
      <w:tr w:rsidR="00C914AD" w:rsidRPr="00C914AD" w:rsidTr="00C914AD">
        <w:trPr>
          <w:trHeight w:val="20"/>
          <w:jc w:val="center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№№ п.п.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 и состав работы (операции)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Единица измерения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Стоимость, БЦ (2000) (тыс. </w:t>
            </w:r>
            <w:proofErr w:type="spellStart"/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p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уб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.)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Ознакомление с проектом и объектом исследований. Подготовка акустического тракта для проведения измерений (лабораторные условия). Выезд на объект. Погрузка и разгрузка электроакустического оборудования. Выбор помещений и измерительных точек для проведения исследований. Сборка и калибровка акустического тракта на объекте.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Проведение акустических измерений согласно соответствующего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ГОСТа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для измерения звукоизоляции конструкций</w:t>
            </w:r>
            <w:proofErr w:type="gramEnd"/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Натурные измерения звукоизоляции стен, перегородок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.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 xml:space="preserve">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д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верей и наружных ограждающих конструкций.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Погрузка и разгрузка электроакустических трактов после проведения измерений на объекте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озвращение в лабораторию для камеральной обработки. Обработка результатов измерений и расчет звукоизоляции ограждения.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конструкция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Натурные измерения </w:t>
            </w: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звукоизоляции междуэтажного перекрытия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.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 xml:space="preserve"> 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писание состава работ см. п. 1 т</w:t>
            </w: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.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5.4) Погрузка и разгрузка электроакустических трактов после проведения измерений па объекте, возвращение в лабораторию для камеральной обработки. Обработка результатов измерений и расчет звукоизоляции и ударного шума под перекрытием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конструкция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3,611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Проведение акустических измерений согласно соответствующего ГОСТ - для измерения времени реверберации.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Измерение времени реверберации до 100 куб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помещение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1,704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 500 куб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помещение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4,463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более 500 куб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помещение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5,681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более 5000 куб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помещение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7,507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Проведение акустических измерений согласно соответствующего ГОСТ - для измерения звукоизоляции.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 xml:space="preserve">Определение 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R,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Ln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 xml:space="preserve">значений индексов изоляции воздушного шума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Rw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, </w:t>
            </w: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 xml:space="preserve">приведенного уровня ударного шума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Lnw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и соответствия звукоизоляции конструкций нормативным требованиям.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(описание состава работ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см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 п. 1 и п. 2 т. 5.4)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конструкция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2,074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8.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Составление отчетных материалов: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Оформление результатов измерений, составление протоколов в виде таблиц и диаграмм. Подписи протоколов и сдача заказчику совместно с актами сдачи и счетами-фактурами.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заключение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1,383</w:t>
            </w:r>
          </w:p>
        </w:tc>
      </w:tr>
    </w:tbl>
    <w:p w:rsidR="00C914AD" w:rsidRPr="00C914AD" w:rsidRDefault="00C914AD" w:rsidP="00C914AD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i214178"/>
      <w:bookmarkEnd w:id="20"/>
      <w:r w:rsidRPr="00C914A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5.4. Измерение шума от работы инженерного, технологического оборудования и внешних источников: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5.4.1. Измерение октавных уровней звукового давления, эквивалентных уровней звукового давления и др.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5.4.2. Расчет эквивалентных уровней звука;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5.4.3. Определение шумовых характеристик транспортных потоков.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Базовые цены на измерение шума от работы инженерного, технологического оборудования и внешних источников.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1" w:name="i223788"/>
      <w:bookmarkEnd w:id="21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5.5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526"/>
        <w:gridCol w:w="5808"/>
        <w:gridCol w:w="1959"/>
        <w:gridCol w:w="1142"/>
      </w:tblGrid>
      <w:tr w:rsidR="00C914AD" w:rsidRPr="00C914AD" w:rsidTr="00C914AD">
        <w:trPr>
          <w:trHeight w:val="20"/>
          <w:jc w:val="center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№№ п.п.</w:t>
            </w:r>
          </w:p>
        </w:tc>
        <w:tc>
          <w:tcPr>
            <w:tcW w:w="3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 и состав работы (операции)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Единица измерения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Стоимость, БЦ (2000) (тыс. руб.)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3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</w:t>
            </w:r>
          </w:p>
        </w:tc>
        <w:tc>
          <w:tcPr>
            <w:tcW w:w="3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Ознакомление с проектом и объектом исследований. Подготовка акустического тракта для проведения измерений (лабораторные условия). Выезд па объект. Погрузка и разгрузка электроакустического оборудования. Выбор помещений и измерительных точек для проведения исследований. Сборка и калибровка акустического тракта на объекте. Проведение акустических измерений согласно соответствующего ГОСТ - для измерения шума.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Измерение уровней звукового давления в октавных полосах частот звукового давления.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Погрузка и разгрузка электроакустических трактов после проведения измерений на объекте, возвращение в лабораторию для камеральной обработки. Обработка результатов измерений и определение уровня звука, уровней звукового давления. Сопоставление результатов измерений с нормативными значениями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точка в измеряемом помещении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0,457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</w:t>
            </w:r>
          </w:p>
        </w:tc>
        <w:tc>
          <w:tcPr>
            <w:tcW w:w="3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 каждую последующую точку сверх 5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точка в измеряемом помещении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0,228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8"/>
                <w:lang w:eastAsia="ru-RU"/>
              </w:rPr>
              <w:t>3.</w:t>
            </w:r>
          </w:p>
        </w:tc>
        <w:tc>
          <w:tcPr>
            <w:tcW w:w="3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Измерение уровней звукового давления в 1/3 октавных полосах частот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(описание состава работ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см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 п. 1 т. 5.5.)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точка в измеряемом помещении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0,902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</w:t>
            </w:r>
          </w:p>
        </w:tc>
        <w:tc>
          <w:tcPr>
            <w:tcW w:w="3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 каждую последующую точку сверх 5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точка в измеряемом помещении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0,451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</w:t>
            </w:r>
          </w:p>
        </w:tc>
        <w:tc>
          <w:tcPr>
            <w:tcW w:w="3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Измерение и расчет эквивалентных уровней звука непостоянного шума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(описание состава работ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см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 п. 1 т. 5.5)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точка в измеряемом помещении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2,165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</w:t>
            </w:r>
          </w:p>
        </w:tc>
        <w:tc>
          <w:tcPr>
            <w:tcW w:w="3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 xml:space="preserve">Определение шумовых характеристик транспортных потоков 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(сост. работ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см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 п. 1 т. 5.5)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точка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5,599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</w:t>
            </w:r>
          </w:p>
        </w:tc>
        <w:tc>
          <w:tcPr>
            <w:tcW w:w="3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Составление отчетных материалов.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Оформление результатов измерений, составление протоколов в виде таблиц и диаграмм. Подписи протоколов и сдача заказчику 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совместно с актами сдачи и счетами-фактурами.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1 протокол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1,378</w:t>
            </w:r>
          </w:p>
        </w:tc>
      </w:tr>
    </w:tbl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2" w:name="i231558"/>
      <w:bookmarkEnd w:id="22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 xml:space="preserve">5.5. </w:t>
      </w:r>
      <w:r w:rsidRPr="00C914AD">
        <w:rPr>
          <w:rFonts w:ascii="Times New Roman" w:eastAsia="Times New Roman" w:hAnsi="Times New Roman" w:cs="Times New Roman"/>
          <w:sz w:val="24"/>
          <w:szCs w:val="18"/>
          <w:u w:val="single"/>
          <w:lang w:eastAsia="ru-RU"/>
        </w:rPr>
        <w:t>Измерение вибраций.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5.5.1. Оценка вибраций в жилых и общественных зданиях.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Базовые цены на измерение вибраций.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3" w:name="i244400"/>
      <w:bookmarkEnd w:id="23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5.6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588"/>
        <w:gridCol w:w="5780"/>
        <w:gridCol w:w="1925"/>
        <w:gridCol w:w="1142"/>
      </w:tblGrid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№№ 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п.п.</w:t>
            </w:r>
          </w:p>
        </w:tc>
        <w:tc>
          <w:tcPr>
            <w:tcW w:w="3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 и состав работы (операции)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Единица измерения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Стоимость, БЦ (2000) (тыс. руб.)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3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</w:t>
            </w:r>
          </w:p>
        </w:tc>
        <w:tc>
          <w:tcPr>
            <w:tcW w:w="3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Ознакомление с проектом и объектом исследований. Подготовка акустического тракта для проведения измерений (лабораторные условия). Выезд на объект. Погрузка и разгрузка электроакустического оборудования. Выбор помещений и измерительных точек для проведения исследований. Сборка и калибровка акустического тракта на объекте. Проведение акустических измерений. Погрузка и разгрузка электроакустических трактов после проведения измерений на объекте, возвращение в лабораторию для камеральной обработки. Обработка результатов измерений Сопоставление результатов измерений с нормативными значениями. </w:t>
            </w: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Измерение вибрации (одного параметра) в нормируемых октавных полосах частот, в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одном направлении, в помещениях жилых и общественных зданий.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точка в измеряемом помещении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0,872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 каждую последующую точку сверх 5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точка в измеряемом помещении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0,436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Составление отчетных материалов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Оформление результатов измерений, составление протоколов в виде таблиц и диаграмм. Подписи протоколов и сдача заказчику совместно с актами сдачи и счетами-фактурами.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протокол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1,128</w:t>
            </w:r>
          </w:p>
        </w:tc>
      </w:tr>
    </w:tbl>
    <w:p w:rsidR="00C914AD" w:rsidRPr="00C914AD" w:rsidRDefault="00C914AD" w:rsidP="00C914AD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5.5.2. В базовые цены (табл. </w:t>
      </w:r>
      <w:hyperlink r:id="rId70" w:anchor="i205198" w:tooltip="Базовые цены на обследование звукоизоляции стен, перегородок, междуэтажных перекрытий, дверей и наружных ограждающих конструкций" w:history="1">
        <w:r w:rsidRPr="00C914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5.4</w:t>
        </w:r>
      </w:hyperlink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1" w:anchor="i223788" w:tooltip="Базовые цены на измерение шума от работы инженерного, технологического оборудования и внешних источников." w:history="1">
        <w:r w:rsidRPr="00C914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5.5</w:t>
        </w:r>
      </w:hyperlink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>, 5.6) включены затраты по использованию транспорта и оборудования.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При проведении поисковых работ, включающих в себя регистрацию, анализ и изучение кратковременных и нестабильных процессов, вызванных как явными, так и неизвестными источниками возмущения, к ценам таблиц </w:t>
      </w:r>
      <w:hyperlink r:id="rId72" w:anchor="i184619" w:tooltip="Поправочные коэффициенты к базовым ценам по обследованию технического состояния инженерного оборудования, электрических сетей и средств связи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5.3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</w:t>
      </w:r>
      <w:hyperlink r:id="rId73" w:anchor="i205198" w:tooltip="Базовые цены на обследование звукоизоляции стен, перегородок, междуэтажных перекрытий, дверей и наружных ограждающих конструкц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5.4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и </w:t>
      </w:r>
      <w:hyperlink r:id="rId74" w:anchor="i223788" w:tooltip="Базовые цены на измерение шума от работы инженерного, технологического оборудования и внешних источников.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5.5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вводится поправочный коэффициент К = 3.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Холостой выезд по вине организаций, для которых производится измерение шума и вибрации, оформляется актом или протоколом о срыве измерений и компенсируется в соответствии с заключённым договором.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Стоимость разработки проектно-сметной документации по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шумовиброглушению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определяется дополнительно.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Ценами таблицы предусмотрены работы по измерениям шума и вибрации для санитарно-гигиенической оценки шума и вибрации в полевых условиях или в помещениях при температуре окружающего воздуха от +25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°С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до -10°С и в уровнях звука не выше 85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дБА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Измерения выполняются в дневное время суток в течение рабочего дня. При отклонении от этих условий к ценам таблицы вводятся поправочные, коэффициенты.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Поправочные коэффициенты к базовым ценам по обследованию звукоизоляции ограждающих конструкций, шума инженерного оборудования, вибраций и внешнего шума (к таблицам </w:t>
      </w:r>
      <w:hyperlink r:id="rId75" w:anchor="i205198" w:tooltip="Базовые цены на обследование звукоизоляции стен, перегородок, междуэтажных перекрытий, дверей и наружных ограждающих конструкций" w:history="1">
        <w:r w:rsidRPr="00C914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5.4</w:t>
        </w:r>
      </w:hyperlink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6" w:anchor="i223788" w:tooltip="Базовые цены на измерение шума от работы инженерного, технологического оборудования и внешних источников." w:history="1">
        <w:r w:rsidRPr="00C914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5.5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, 5.6)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4" w:name="i252881"/>
      <w:bookmarkEnd w:id="24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>Таблица 5.7.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588"/>
        <w:gridCol w:w="3265"/>
        <w:gridCol w:w="3465"/>
        <w:gridCol w:w="2117"/>
      </w:tblGrid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№№ п.п.</w:t>
            </w: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Учитываемые отклонения от условий измерений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Характеристика учитываемых отклонений от условий измерений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Поправочный коэффициент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tabs>
                <w:tab w:val="left" w:leader="dot" w:pos="2438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</w:t>
            </w: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Работа в вечернее или ночное время </w:t>
            </w:r>
            <w:proofErr w:type="spellStart"/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o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т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18 до 24 час.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Работа в вечернее или ночное время определяется требованиями заказчика или невозможностью проведения измерения в дневное время.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bscript"/>
                <w:lang w:eastAsia="ru-RU"/>
              </w:rPr>
              <w:t>1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= 1,2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После 24 час.</w:t>
            </w:r>
          </w:p>
        </w:tc>
        <w:tc>
          <w:tcPr>
            <w:tcW w:w="18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bscript"/>
                <w:lang w:eastAsia="ru-RU"/>
              </w:rPr>
              <w:t>1-1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= 1,4</w:t>
            </w:r>
          </w:p>
        </w:tc>
      </w:tr>
      <w:tr w:rsidR="00C914AD" w:rsidRPr="00C914AD" w:rsidTr="00C914AD">
        <w:trPr>
          <w:trHeight w:val="685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2.</w:t>
            </w: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Работа в полевых условиях при температуре окружающего воздуха выше +25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°С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и ниже -10°С 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Необходимость проведения измерений именно в данное время года определяется требованиями заказчика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bscript"/>
                <w:lang w:eastAsia="ru-RU"/>
              </w:rPr>
              <w:t>2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= 1,25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Работа в производственных помещениях горячих цехов (при температуре воздуха на рабочем месте более 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40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°С)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Необходимость проведения измерений в указанных помещениях определяется требованиями заказчика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bscript"/>
                <w:lang w:eastAsia="ru-RU"/>
              </w:rPr>
              <w:t>3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= 1,5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</w:t>
            </w:r>
          </w:p>
        </w:tc>
        <w:tc>
          <w:tcPr>
            <w:tcW w:w="17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Работа в производственных помещениях с уровнем звука</w:t>
            </w:r>
          </w:p>
        </w:tc>
        <w:tc>
          <w:tcPr>
            <w:tcW w:w="18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86 - 100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дБА</w:t>
            </w:r>
            <w:proofErr w:type="spellEnd"/>
          </w:p>
        </w:tc>
        <w:tc>
          <w:tcPr>
            <w:tcW w:w="18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bscript"/>
                <w:lang w:eastAsia="ru-RU"/>
              </w:rPr>
              <w:t>4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= 1,4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101 - 110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дБА</w:t>
            </w:r>
            <w:proofErr w:type="spellEnd"/>
          </w:p>
        </w:tc>
        <w:tc>
          <w:tcPr>
            <w:tcW w:w="18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bscript"/>
                <w:lang w:eastAsia="ru-RU"/>
              </w:rPr>
              <w:t>4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= 1,6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111 - 120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дБА</w:t>
            </w:r>
            <w:proofErr w:type="spellEnd"/>
          </w:p>
        </w:tc>
        <w:tc>
          <w:tcPr>
            <w:tcW w:w="18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bscript"/>
                <w:lang w:eastAsia="ru-RU"/>
              </w:rPr>
              <w:t>4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= 1,8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выше 120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дБА</w:t>
            </w:r>
            <w:proofErr w:type="spellEnd"/>
          </w:p>
        </w:tc>
        <w:tc>
          <w:tcPr>
            <w:tcW w:w="18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bscript"/>
                <w:lang w:eastAsia="ru-RU"/>
              </w:rPr>
              <w:t>4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= 2,0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</w:t>
            </w:r>
          </w:p>
        </w:tc>
        <w:tc>
          <w:tcPr>
            <w:tcW w:w="173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Проведение измерений на крышах производственных цехов выше 3 этажа</w:t>
            </w:r>
          </w:p>
        </w:tc>
        <w:tc>
          <w:tcPr>
            <w:tcW w:w="18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Необходимость проведения измерений у воздуховодов выброса в атмосферу, выведенных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конек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крыши, и у подобных устройств, размещаемых на крышах производственных корпусов, определяется требованиями заказчика</w:t>
            </w:r>
          </w:p>
        </w:tc>
        <w:tc>
          <w:tcPr>
            <w:tcW w:w="11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bscript"/>
                <w:lang w:eastAsia="ru-RU"/>
              </w:rPr>
              <w:t>5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= 2,5</w:t>
            </w:r>
          </w:p>
        </w:tc>
      </w:tr>
    </w:tbl>
    <w:p w:rsidR="00C914AD" w:rsidRPr="00C914AD" w:rsidRDefault="00C914AD" w:rsidP="00C914AD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r w:rsidRPr="00C91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Определение теплотехнических показателей наружных ограждающих конструкций включает: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5.6.1. Определение теплотехнических показателей наружных ограждающих конструкций с точки зрения теплозащиты здания.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5.6.2. Изучение и анализ имеющейся проектной документации наружных ограждающих конструкций и др.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5.6.3. Получение от эксплуатирующей организации списка квартир с дефектами (промерзания и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отсыревания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стен, неудовлетворительная работа вентиляции и др.).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5.6.4. 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Инструментально-визуальные обследования ограждающих конструкций с указанием мест выпадения конденсата, образования плесени и т.п.; измерения температуры, относительной влажности и температуры точки росы воздуха помещений; измерения температуры внутренней поверхности в местах дефектов и на «глади» наружной стены; выборочные определения термического сопротивления (сопротивления теплопередаче) на глади стен с дефектами при низких температурах наружного воздуха;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измерения объема вытяжки из кухни и санитарно-технического блока; измерения температуры и скорости наружного воздуха.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5.6.5. Отбор проб и образцов материалов из дефектных и не дефектных мест (для сопоставления и анализа) наружных стен и других ограждающих конструкций и лабораторные испытания на плотность, влажность и теплопроводность.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5.6.6. Расчеты влажностного режима ограждающих конструкций.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5.6.7. Расчеты температурных полей дефектных узлов сопряжения ограждающих конструкций с проектными и натурными показателями плотности, влажности и теплопроводности материалов конструкций.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5.6.8.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Тепловизионная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съемка наружных стен для выявления мест с низкими теплозащитными показателями.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5.6.9. Расчеты приведенного сопротивления теплопередаче наружных стен типового этажа здания с учетом выявленных фрагментов наружных стен с низкими 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>теплозащитными показателями.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Базовые цены для обследования теплотехнических показателей наружных ограждающих конструкций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5.8.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49"/>
        <w:gridCol w:w="6112"/>
        <w:gridCol w:w="1244"/>
        <w:gridCol w:w="1430"/>
      </w:tblGrid>
      <w:tr w:rsidR="00C914AD" w:rsidRPr="00C914AD" w:rsidTr="00C914AD">
        <w:trPr>
          <w:trHeight w:val="20"/>
          <w:jc w:val="center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№№ п.п.</w:t>
            </w:r>
          </w:p>
        </w:tc>
        <w:tc>
          <w:tcPr>
            <w:tcW w:w="3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 и состав работы (операции)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Единица измерения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Стоимость, БЦ (2000) (тыс. руб.)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3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Техническое заключение по результатам обследования теплозащитных качеств ограждающих конструкций зданий и сооружений.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</w:t>
            </w:r>
          </w:p>
        </w:tc>
        <w:tc>
          <w:tcPr>
            <w:tcW w:w="3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Получение задания. Ознакомление с проектной документацией. Подготовка к проведению работ Выезд на объект.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Экспертно-техническое обследование наружных ограждающих конструкций.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1000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1,067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</w:t>
            </w:r>
          </w:p>
        </w:tc>
        <w:tc>
          <w:tcPr>
            <w:tcW w:w="3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Установка (снятие) датчиков наблюдения на базовых участках.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1000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1,360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</w:t>
            </w:r>
          </w:p>
        </w:tc>
        <w:tc>
          <w:tcPr>
            <w:tcW w:w="3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Систематический контроль за работой датчиков - регистраторов температур и тепловых потоков (не реже одного раза в трое </w:t>
            </w:r>
            <w:proofErr w:type="spellStart"/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cy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ток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)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1000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1,360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</w:t>
            </w:r>
          </w:p>
        </w:tc>
        <w:tc>
          <w:tcPr>
            <w:tcW w:w="3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Термографирование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 xml:space="preserve"> наружных (внутренних) поверхностей ограждающих конструкций.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1000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1,360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</w:t>
            </w:r>
          </w:p>
        </w:tc>
        <w:tc>
          <w:tcPr>
            <w:tcW w:w="3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Обработка и анализ результатов обследования.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1000 м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2,324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</w:t>
            </w:r>
          </w:p>
        </w:tc>
        <w:tc>
          <w:tcPr>
            <w:tcW w:w="3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Составление технического заключения.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заключение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1,067</w:t>
            </w:r>
          </w:p>
        </w:tc>
      </w:tr>
    </w:tbl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Поправочные коэффициенты для базовых цен по обследованию теплотехнических показателей наружных ограждающих конструкций (к таблице 5.8.)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5.9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589"/>
        <w:gridCol w:w="7293"/>
        <w:gridCol w:w="1553"/>
      </w:tblGrid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№№ п.п.</w:t>
            </w:r>
          </w:p>
        </w:tc>
        <w:tc>
          <w:tcPr>
            <w:tcW w:w="3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 работ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Значение коэффициента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</w:t>
            </w:r>
          </w:p>
        </w:tc>
        <w:tc>
          <w:tcPr>
            <w:tcW w:w="3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При выполнении работ в неблагоприятный период года (для Москвы и Московской области с 20 октября по 5 мая)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2.</w:t>
            </w:r>
          </w:p>
        </w:tc>
        <w:tc>
          <w:tcPr>
            <w:tcW w:w="3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При выполнении работ в ночные часы (с 0.00 до 6.00)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При обследовании ограждающих конструкций различных типов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При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термографировании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 xml:space="preserve">внутренней 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поверхности ограждающих конструкций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1,5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</w:t>
            </w:r>
          </w:p>
        </w:tc>
        <w:tc>
          <w:tcPr>
            <w:tcW w:w="3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При увеличении объема обследуемого объекта: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при объеме более 10000 куб.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</w:t>
            </w:r>
            <w:proofErr w:type="gramEnd"/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0,7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при объеме более 20000 куб.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</w:t>
            </w:r>
            <w:proofErr w:type="gramEnd"/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при объеме более 30000 куб.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</w:t>
            </w:r>
            <w:proofErr w:type="gramEnd"/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0,5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при объеме более 60000 куб.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</w:t>
            </w:r>
            <w:proofErr w:type="gramEnd"/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при объеме более 120000 куб.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</w:t>
            </w:r>
            <w:proofErr w:type="gramEnd"/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0,3</w:t>
            </w:r>
          </w:p>
        </w:tc>
      </w:tr>
    </w:tbl>
    <w:p w:rsidR="00C914AD" w:rsidRPr="00C914AD" w:rsidRDefault="00C914AD" w:rsidP="00C914AD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5.7. </w:t>
      </w:r>
      <w:r w:rsidRPr="00C914A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Мониторинг технического состояния зданий и сооружений включает: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5.7.1. Требования к мониторингу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5.7.2. Составление программы проведения мониторинга и согласование с заказчиком.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5.7.3. Сертификация, проверка и аттестация приборов и оборудования, используемых для мониторинга.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5.7.4. Обследование технического состояния зданий и сооружений.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5" w:name="i265185"/>
      <w:bookmarkEnd w:id="25"/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5.8. </w:t>
      </w:r>
      <w:r w:rsidRPr="00C914A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Общий мониторинг технического состояния зданий и сооружений: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5.8.1. Выявление объектов, изменивших свое напряженно-деформированное состояние настолько, что требуется обследование их технического состояния.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5.8.2. Визуальное обследование конструкций с целью приблизительной оценки категории технического состояния.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5.8.3. Измерение динамических параметров зданий и сооружений.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5.8.4. Составление паспорта здания или сооружения.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5.8.5. Составления заключения по результатам общего мониторинга технического состояния зданий и сооружений города.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Базовые цепы на общий мониторинг технического состояния зданий и сооружений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6" w:name="i274912"/>
      <w:bookmarkEnd w:id="26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5.10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593"/>
        <w:gridCol w:w="5363"/>
        <w:gridCol w:w="2202"/>
        <w:gridCol w:w="1277"/>
      </w:tblGrid>
      <w:tr w:rsidR="00C914AD" w:rsidRPr="00C914AD" w:rsidTr="00C914AD">
        <w:trPr>
          <w:trHeight w:val="20"/>
          <w:jc w:val="center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№№ п.п.</w:t>
            </w:r>
          </w:p>
        </w:tc>
        <w:tc>
          <w:tcPr>
            <w:tcW w:w="2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 работы (операции)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Единица измерения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Стоимость,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Цбо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(2000) (тыс. руб.)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Измерение динамических параметров объекта.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период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7,692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Измерение динамических параметров объекта.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один логарифмический декремент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7,692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</w:t>
            </w:r>
          </w:p>
        </w:tc>
        <w:tc>
          <w:tcPr>
            <w:tcW w:w="2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Измерение динамических параметров объекта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одна передаточная функция (для особых зданий).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8,716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паспорта здания или сооружения.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паспорт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5,111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</w:t>
            </w:r>
          </w:p>
        </w:tc>
        <w:tc>
          <w:tcPr>
            <w:tcW w:w="2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заключения по результатам общего мониторинга технического состояния зданий и сооружений города.</w:t>
            </w:r>
          </w:p>
        </w:tc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заключение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5,734</w:t>
            </w:r>
          </w:p>
        </w:tc>
      </w:tr>
    </w:tbl>
    <w:p w:rsidR="00C914AD" w:rsidRPr="00C914AD" w:rsidRDefault="00C914AD" w:rsidP="00C914AD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i281760"/>
      <w:bookmarkEnd w:id="27"/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</w:t>
      </w:r>
      <w:r w:rsidRPr="00C91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Мониторинг технического состояния зданий и сооружений, находящихся в ограниченно работоспособном или аварийном состоянии.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5.9.1. Контроль процессов, протекающих в конструкциях объектов и грунте, 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до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и 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во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время их восстановления или усиления.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>5.9.2. В зависимости от причин, приведших здание или сооружение в такую категорию технического состояния, характера дефектов и повреждений конструкций, которые установлены при обследовании технического состояния объекта, принимается разная полнота состава работ, проводимых при таком мониторинге.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5.9.3. Определение текущих динамических параметров объекта.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Базовые цены на мониторинг 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технического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состоянии зданий и сооружений, находящихся в ограниченно работоспособном или аварийном состоянии.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8" w:name="i296752"/>
      <w:bookmarkEnd w:id="28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5.11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462"/>
        <w:gridCol w:w="5868"/>
        <w:gridCol w:w="1917"/>
        <w:gridCol w:w="1188"/>
      </w:tblGrid>
      <w:tr w:rsidR="00C914AD" w:rsidRPr="00C914AD" w:rsidTr="00C914AD">
        <w:trPr>
          <w:trHeight w:val="20"/>
          <w:jc w:val="center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п.п.</w:t>
            </w:r>
          </w:p>
        </w:tc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 работы (операции)</w:t>
            </w: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spacing w:before="100" w:beforeAutospacing="1" w:after="100" w:afterAutospacing="1" w:line="20" w:lineRule="atLeast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Стоимость,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Цбо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(2000) (тыс. руб.)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Определение текущих динамических параметров объекта и сравнение их с аналогичными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змеренными на предыдущем этапе.</w:t>
            </w: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spacing w:before="100" w:beforeAutospacing="1" w:after="100" w:afterAutospacing="1" w:line="20" w:lineRule="atLeas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период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7,692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Определение текущих динамических параметров объекта и сравнение их с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аналогичными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 измеренными на предыдущем этапе.</w:t>
            </w: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spacing w:before="100" w:beforeAutospacing="1" w:after="100" w:afterAutospacing="1" w:line="20" w:lineRule="atLeas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логарифмический декремент.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7,692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Определение текущих динамических параметров объекта и сравнение их с </w:t>
            </w:r>
            <w:proofErr w:type="gram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аналогичными</w:t>
            </w:r>
            <w:proofErr w:type="gram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 измеренными на предыдущем этапе.</w:t>
            </w: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Одна передаточная функция (для особых зданий).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9,168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14AD" w:rsidRPr="00C914AD" w:rsidRDefault="00C914AD" w:rsidP="00C914AD">
            <w:pPr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</w:t>
            </w:r>
          </w:p>
        </w:tc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отчетных данных</w:t>
            </w: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отчет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5,734</w:t>
            </w:r>
          </w:p>
        </w:tc>
      </w:tr>
    </w:tbl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 xml:space="preserve">5.10. </w:t>
      </w:r>
      <w:r w:rsidRPr="00C914AD">
        <w:rPr>
          <w:rFonts w:ascii="Times New Roman" w:eastAsia="Times New Roman" w:hAnsi="Times New Roman" w:cs="Times New Roman"/>
          <w:sz w:val="24"/>
          <w:szCs w:val="18"/>
          <w:u w:val="single"/>
          <w:lang w:eastAsia="ru-RU"/>
        </w:rPr>
        <w:t>Мониторинг технического состояния зданий и сооружений, попадающих в зону влияния строек и природно-техногенных воздействий.</w:t>
      </w:r>
    </w:p>
    <w:p w:rsidR="00C914AD" w:rsidRPr="00C914AD" w:rsidRDefault="00C914AD" w:rsidP="00C914AD">
      <w:pPr>
        <w:tabs>
          <w:tab w:val="left" w:pos="126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>5.10.1. Определение абсолютных и относительных величин деформаций конструкций зданий и сооружений и сравнение их с расчетными и допустимыми значениями.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5.10.2.</w:t>
      </w:r>
      <w:r w:rsidRPr="00C914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Выявление причин возникновения и степени опасности деформаций для нормальной эксплуатации объектов.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5.10.3.</w:t>
      </w:r>
      <w:r w:rsidRPr="00C914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Уточнение расчетных схем для различных типов зданий, сооружений и коммуникаций.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5.10.4. Установление эффективности принимаемых профилактических и защитных мероприятий.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5.10.5. Уточнение закономерностей процесса сдвижения грунтовых пород и зависимостей его параметров от основных влияющих факторов.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5.10.6. См. п. 1 табл. 5.12.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5.10.7. Выполнение геодезическо-маркшейдерских работ при подземном способе строительства и реконструкции.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5.10.8. Оценка и прогноз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геомеханического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состояния породного массива в районе крупного строительства и в зоне его влияния на объекты, расположенные на земной поверхности.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5.10.9.</w:t>
      </w:r>
      <w:r w:rsidRPr="00C914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Инструментальные наблюдения за сдвижением земной поверхности и расположенными на ней объектами.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5.10.10.</w:t>
      </w:r>
      <w:r w:rsidRPr="00C914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Закладка стенных и грунтовых реперов для наблюдения за отдельными зданиями и сооружениями, попадающими в зону влияния.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5.10.11.</w:t>
      </w:r>
      <w:r w:rsidRPr="00C914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Обследование технического состояния зданий и сооружений, попадающих в зону влияния.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5.10.12. Регистрация динамических параметров зданий и сооружений, попадающих в зону влияния.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5.10.13. Составление паспортов.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5.10.14. Определение неравномерности осадки фундаментов.</w:t>
      </w:r>
    </w:p>
    <w:p w:rsidR="00C914AD" w:rsidRPr="00C914AD" w:rsidRDefault="00C914AD" w:rsidP="00C914A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5.10.15. См. п. 2, 3, 4 таблицы 5.12.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Базовые цены на мониторинг технического состояния зданий и сооружений, попадающих в зону влияния строек и природно-техногенных воздействий.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Таблица 5.12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589"/>
        <w:gridCol w:w="5504"/>
        <w:gridCol w:w="1649"/>
        <w:gridCol w:w="1693"/>
      </w:tblGrid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№№ п.п.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 работы (операции)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Единица измерения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Стоимость,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Цбо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(2000) (тыс. руб.)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u w:val="single"/>
                <w:lang w:eastAsia="ru-RU"/>
              </w:rPr>
              <w:t>Составление проекта мониторинга технического состояния зданий и сооружений, попадающих в зону влияния строек и природно-техногенных воздействий: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Оценка зоны влияния динамических воздействий на окружающие здания и сооружения при погружении свайных элементов строящихся зданий. Определение внешних границ мульды сдвижения на земной поверхности, значений ожидаемых и максимальных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сдвижений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и деформаций земной поверхности в точках мульды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сдвижений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при подземном способе возведения объекта. Определение общей продолжительности процесса сдвижения земной поверхности и периода опасных деформаций над подземной выработкой.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Проект мониторинга технического состояния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16,592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u w:val="single"/>
                <w:lang w:eastAsia="ru-RU"/>
              </w:rPr>
              <w:t>Обследование технического состояния зданий и сооружений, попадающих в зону влияния строек и природно-техногенных воздействий: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Выявление причин возникновения и степени опасности деформаций для нормальной эксплуатации объектов. Уточнение расчетных данных и физико-механических характеристик грунтов. Оценка надежности узлов </w:t>
            </w:r>
            <w:proofErr w:type="spellStart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опирания</w:t>
            </w:r>
            <w:proofErr w:type="spellEnd"/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конструкций, наличие необходимых зазоров в швах и шарнирных опорах. Фиксация трещин и других повреждений конструкций Определение в промышленных зданиях относительных горизонтальных перемещений отдельно стоящих фундаментов колонн, наклонов фундаментов технологического оборудования. Составление паспортов.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Акт обследования здания или сооружения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19,532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u w:val="single"/>
                <w:lang w:eastAsia="ru-RU"/>
              </w:rPr>
              <w:t>Мониторинг зданий и сооружений, попадающих в зону влияния строек и природно-техногенных воздействий. Закладка стенных и грунтовых реперов для наблюдения за отдельными зданиями и сооружениями, попадающими в зону влияния.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Наблюдения за сдвижением земной поверхности, а также за деформациями зданий и сооружений, попадающих в зону влияния строительства подземного сооружения. Измерение геодезическими методами и приборами по наблюдательным реперам вертикальных и горизонтальных перемещений земной поверхности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 цикл измерений на объекте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12,602</w:t>
            </w:r>
          </w:p>
        </w:tc>
      </w:tr>
      <w:tr w:rsidR="00C914AD" w:rsidRPr="00C914AD" w:rsidTr="00C914AD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i/>
                <w:iCs/>
                <w:sz w:val="20"/>
                <w:szCs w:val="16"/>
                <w:lang w:eastAsia="ru-RU"/>
              </w:rPr>
              <w:t>Составление отчетных материалов</w:t>
            </w: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:</w:t>
            </w:r>
          </w:p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Составление отчета по материалам измерений, вычислений и геолого-маркшейдерской документации, содержащее необходимую информацию, характеризующую состояние зданий и сооружений, попадающих в зону влияния крупных строек и природно-техногенных воздействий, с приложением документации, подтверждающей сделанные выводы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Отчет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14AD" w:rsidRPr="00C914AD" w:rsidRDefault="00C914AD" w:rsidP="00C91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AD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16,616</w:t>
            </w:r>
          </w:p>
        </w:tc>
      </w:tr>
    </w:tbl>
    <w:p w:rsidR="00C914AD" w:rsidRPr="00C914AD" w:rsidRDefault="00C914AD" w:rsidP="00C914AD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</w:pPr>
      <w:bookmarkStart w:id="29" w:name="i312747"/>
      <w:bookmarkStart w:id="30" w:name="i304868"/>
      <w:bookmarkEnd w:id="29"/>
      <w:bookmarkEnd w:id="30"/>
      <w:r w:rsidRPr="00C914AD"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  <w:t>Приложение 1</w:t>
      </w:r>
    </w:p>
    <w:p w:rsidR="00C914AD" w:rsidRPr="00C914AD" w:rsidRDefault="00C914AD" w:rsidP="00C914AD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</w:pPr>
      <w:bookmarkStart w:id="31" w:name="i322611"/>
      <w:r w:rsidRPr="00C914AD"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  <w:t>РАСЧЕТ</w:t>
      </w:r>
      <w:bookmarkEnd w:id="31"/>
    </w:p>
    <w:p w:rsidR="00C914AD" w:rsidRPr="00C914AD" w:rsidRDefault="00C914AD" w:rsidP="00C914AD">
      <w:pPr>
        <w:keepNext/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</w:pPr>
      <w:bookmarkStart w:id="32" w:name="i334611"/>
      <w:r w:rsidRPr="00C914AD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значений коэффициента полноты выполнения работ </w:t>
      </w:r>
      <w:bookmarkEnd w:id="32"/>
      <w:proofErr w:type="spellStart"/>
      <w:r w:rsidRPr="00C914AD"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16"/>
          <w:vertAlign w:val="subscript"/>
          <w:lang w:eastAsia="ru-RU"/>
        </w:rPr>
        <w:t>ср</w:t>
      </w:r>
      <w:proofErr w:type="spellEnd"/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Коэффициент полноты выполнения работы, </w:t>
      </w:r>
      <w:proofErr w:type="spellStart"/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18"/>
          <w:vertAlign w:val="subscript"/>
          <w:lang w:eastAsia="ru-RU"/>
        </w:rPr>
        <w:t>ср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, учитывает возможные отклонения от нормативных объемов работ по тому или иному разделу, уточняемые техническим заданием на обследование.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Увеличение объема работ по разделу влечет изменение удельного веса по смежным разделам. Доля увеличения объема работ по разделу и влияние на смежные разделы определяется экспертным путем по согласованию с заказчиком.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Алгоритм расчета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K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cpi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может быть представлен следующим образом: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ΔV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1.1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×К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1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= ΔV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2.1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ΔV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1.2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×К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2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= ΔV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2.2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ΔV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1.3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×К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3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= ΔV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2.3</w:t>
      </w:r>
    </w:p>
    <w:p w:rsidR="00C914AD" w:rsidRPr="00C914AD" w:rsidRDefault="00C914AD" w:rsidP="00C914AD">
      <w:pPr>
        <w:tabs>
          <w:tab w:val="left" w:pos="2285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0"/>
          <w:lang w:eastAsia="ru-RU"/>
        </w:rPr>
        <w:t>. . . . . . . . . . . . . . 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28"/>
          <w:sz w:val="24"/>
          <w:szCs w:val="20"/>
          <w:lang w:eastAsia="ru-RU"/>
        </w:rPr>
        <w:drawing>
          <wp:inline distT="0" distB="0" distL="0" distR="0">
            <wp:extent cx="1775460" cy="425450"/>
            <wp:effectExtent l="19050" t="0" r="0" b="0"/>
            <wp:docPr id="3" name="Рисунок 3" descr="http://files.stroyinf.ru/Data1/56/56966/x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stroyinf.ru/Data1/56/56966/x006.gif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где: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ΔV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1.1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; ΔV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1.2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; ΔV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1.3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;</w:t>
      </w:r>
      <w:r w:rsidRPr="00C914AD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 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. . . - доля раздела в общем объеме работ до корректировки;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1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;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2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; К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3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;. . . - коэффициенты, учитывающие изменения объема работ раздела;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ΔV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2.1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; ΔV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2.2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; ΔV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2.3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; . . . - доля раздела в общем объеме работ после корректировки;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ср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- коэффициент полноты работы.</w:t>
      </w:r>
    </w:p>
    <w:p w:rsidR="00C914AD" w:rsidRPr="00C914AD" w:rsidRDefault="00C914AD" w:rsidP="00C914AD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</w:pPr>
      <w:bookmarkStart w:id="33" w:name="i341516"/>
      <w:r w:rsidRPr="00C914AD"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  <w:t>Приложение 2</w:t>
      </w:r>
      <w:bookmarkEnd w:id="33"/>
    </w:p>
    <w:p w:rsidR="00C914AD" w:rsidRPr="00C914AD" w:rsidRDefault="00C914AD" w:rsidP="00C914AD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</w:pPr>
      <w:bookmarkStart w:id="34" w:name="i354995"/>
      <w:r w:rsidRPr="00C914AD"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  <w:t xml:space="preserve">Примеры расчета стоимости работ по обследованию и мониторингу технического состояния строительных конструкций и инженерного оборудования зданий и </w:t>
      </w:r>
      <w:r w:rsidRPr="00C914AD">
        <w:rPr>
          <w:rFonts w:ascii="Times New Roman" w:eastAsia="Times New Roman" w:hAnsi="Times New Roman" w:cs="Times New Roman"/>
          <w:b/>
          <w:bCs/>
          <w:sz w:val="24"/>
          <w:szCs w:val="34"/>
          <w:lang w:eastAsia="ru-RU"/>
        </w:rPr>
        <w:lastRenderedPageBreak/>
        <w:t>сооружений, осуществляемых с привлечением средств бюджета города Москвы.</w:t>
      </w:r>
      <w:bookmarkEnd w:id="34"/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 Определить стоимость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обмерно-обследовательских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работ по зданию высотой до 15 м, 4700 куб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.м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, II категория сложности здания, II категория сложности работ, выполнение работ в полном объеме, в неблагоприятный период года (март).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Базовая цена на выполнение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обмерно-обследовательских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работ определяется из таблицы </w:t>
      </w:r>
      <w:hyperlink r:id="rId78" w:anchor="i88105" w:tooltip="БАЗОВЫЕ ЦЕНЫ НА ВЫПОЛНЕНИЕ ОБМЕРНО-ОБСЛЕДОВАТЕЛЬСКИХ РАБОТ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4.3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. и составляет 133,9 руб. на 100 куб. 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м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здания.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Стоимость работ в текущих ценах определяется по формуле 3.2: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28"/>
          <w:sz w:val="24"/>
          <w:szCs w:val="18"/>
          <w:lang w:eastAsia="ru-RU"/>
        </w:rPr>
        <w:drawing>
          <wp:inline distT="0" distB="0" distL="0" distR="0">
            <wp:extent cx="1786255" cy="414655"/>
            <wp:effectExtent l="0" t="0" r="0" b="0"/>
            <wp:docPr id="4" name="Рисунок 4" descr="http://files.stroyinf.ru/Data1/56/56966/x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stroyinf.ru/Data1/56/56966/x008.gif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С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то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= 133,90·1,0·(1,3·1,2)·2,607 = 544,56 руб./ 100 куб. 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м</w:t>
      </w:r>
      <w:proofErr w:type="gramEnd"/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14A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то</w:t>
      </w:r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544,56·47 = 25594,32 руб. на здание.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ср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= 1,0 - полнота выполнения работ, табл. </w:t>
      </w:r>
      <w:hyperlink r:id="rId80" w:anchor="i34432" w:tooltip="Корректирующие коэффициенты к базовым ценам на работы по обследованию технического состояния строительных конструкций зданий и сооруже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1.2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i1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= 1,3 - обследования проводятся в неблагоприятный период года, табл. </w:t>
      </w:r>
      <w:hyperlink r:id="rId81" w:anchor="i34432" w:tooltip="Корректирующие коэффициенты к базовым ценам на работы по обследованию технического состояния строительных конструкций зданий и сооруже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1.2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, п. 3 г;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i2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= 1,2 - здание имеет малый строительный объем - до 5000 м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perscript"/>
          <w:lang w:eastAsia="ru-RU"/>
        </w:rPr>
        <w:t>3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табл. </w:t>
      </w:r>
      <w:hyperlink r:id="rId82" w:anchor="i34432" w:tooltip="Корректирующие коэффициенты к базовым ценам на работы по обследованию технического состояния строительных конструкций зданий и сооруже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1.2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п. 6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д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пер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= 2,607 - коэффициент пересчета к ценам 2000 года на IV квартал 2009 года.</w:t>
      </w:r>
    </w:p>
    <w:p w:rsidR="00C914AD" w:rsidRPr="00C914AD" w:rsidRDefault="00C914AD" w:rsidP="00C9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Определить стоимость работ по измерению вибраций (одного параметра) в нормируемых октавных полосах частот, в одном направлении, в помещении жилого дома (квартира), в 3 точках измеряемого помещения, в вечернее время (после 18-00).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Базовая цена па измерение вибраций определяется по таблице 5.6 и составляет 872 руб. за 1 точку измеряемого помещения.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Стоимость работ в текущих ценах определяется по формуле 3.2: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28"/>
          <w:sz w:val="24"/>
          <w:szCs w:val="18"/>
          <w:lang w:eastAsia="ru-RU"/>
        </w:rPr>
        <w:drawing>
          <wp:inline distT="0" distB="0" distL="0" distR="0">
            <wp:extent cx="1786255" cy="414655"/>
            <wp:effectExtent l="0" t="0" r="0" b="0"/>
            <wp:docPr id="5" name="Рисунок 5" descr="http://files.stroyinf.ru/Data1/56/56966/x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stroyinf.ru/Data1/56/56966/x010.gif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С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то</w:t>
      </w: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= 872,0·1,0·1,2·2,607·3 = 8184 руб.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1,2 работа в вечернее или ночное время (с 18-00 до 24-00) - табл. </w:t>
      </w:r>
      <w:hyperlink r:id="rId84" w:anchor="i252881" w:tooltip="Поправочные коэффициенты к базовым ценам по обследованию звукоизоляции ограждающих конструкций, шума инженерного оборудования, вибраций и внешнего шума 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5.7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, п. 1.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ср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= 1,0 полнота выполнения работ, табл. </w:t>
      </w:r>
      <w:hyperlink r:id="rId85" w:anchor="i34432" w:tooltip="Корректирующие коэффициенты к базовым ценам на работы по обследованию технического состояния строительных конструкций зданий и сооруже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1.2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;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пер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= 2,607 - коэффициент пересчета к ценам 2000 года на IV квартал 2009 года.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3. Определить стоимость работ на один цикл общего мониторинга технического состояния зданий и сооружений. Этажность здания - 16, передаточных функций - 3, период собственных колебаний - 1, логарифмических декрементов - 1, паспортов здания - 1, технических заключений - 1,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К</w:t>
      </w:r>
      <w:r w:rsidRPr="00C914AD">
        <w:rPr>
          <w:rFonts w:ascii="Times New Roman" w:eastAsia="Times New Roman" w:hAnsi="Times New Roman" w:cs="Times New Roman"/>
          <w:sz w:val="24"/>
          <w:szCs w:val="18"/>
          <w:vertAlign w:val="subscript"/>
          <w:lang w:eastAsia="ru-RU"/>
        </w:rPr>
        <w:t>пер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= 2,607 - коэффициент пересчета к ценам 2000 года на IV квартал 2009 года.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Сто (Табл. </w:t>
      </w:r>
      <w:hyperlink r:id="rId86" w:anchor="i274912" w:tooltip="Базовые цепы на общий мониторинг технического состояния зданий и сооружений" w:history="1">
        <w:r w:rsidRPr="00C914AD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5.10</w:t>
        </w:r>
      </w:hyperlink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) = (1 период×7,692+1 логарифм</w:t>
      </w:r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proofErr w:type="spellStart"/>
      <w:proofErr w:type="gram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д</w:t>
      </w:r>
      <w:proofErr w:type="gram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екрем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. ×7,692 + 3 </w:t>
      </w:r>
      <w:proofErr w:type="spellStart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передаточн</w:t>
      </w:r>
      <w:proofErr w:type="spellEnd"/>
      <w:r w:rsidRPr="00C914AD">
        <w:rPr>
          <w:rFonts w:ascii="Times New Roman" w:eastAsia="Times New Roman" w:hAnsi="Times New Roman" w:cs="Times New Roman"/>
          <w:sz w:val="24"/>
          <w:szCs w:val="18"/>
          <w:lang w:eastAsia="ru-RU"/>
        </w:rPr>
        <w:t>. ф-ции×8,716 + 1 паспорт×5,111 + 1 отчет×5,734)×2,607 = 136546 руб.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b/>
          <w:bCs/>
          <w:spacing w:val="40"/>
          <w:sz w:val="20"/>
          <w:szCs w:val="18"/>
          <w:lang w:eastAsia="ru-RU"/>
        </w:rPr>
        <w:t>Примечание</w:t>
      </w:r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>: В примерах расчета стоимости не учтен налог на добавленную стоимость.</w:t>
      </w:r>
    </w:p>
    <w:p w:rsidR="00C914AD" w:rsidRPr="00C914AD" w:rsidRDefault="00C914AD" w:rsidP="00C914A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4AD">
        <w:rPr>
          <w:rFonts w:ascii="Times New Roman" w:eastAsia="Times New Roman" w:hAnsi="Times New Roman" w:cs="Times New Roman"/>
          <w:sz w:val="20"/>
          <w:szCs w:val="18"/>
          <w:lang w:eastAsia="ru-RU"/>
        </w:rPr>
        <w:t> </w:t>
      </w:r>
    </w:p>
    <w:p w:rsidR="00023F51" w:rsidRDefault="00023F51"/>
    <w:sectPr w:rsidR="00023F51" w:rsidSect="0002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14AD"/>
    <w:rsid w:val="00023F51"/>
    <w:rsid w:val="008D0718"/>
    <w:rsid w:val="009156A5"/>
    <w:rsid w:val="009C1EED"/>
    <w:rsid w:val="00C914AD"/>
    <w:rsid w:val="00DC36CC"/>
    <w:rsid w:val="00E57467"/>
    <w:rsid w:val="00FA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51"/>
  </w:style>
  <w:style w:type="paragraph" w:styleId="1">
    <w:name w:val="heading 1"/>
    <w:basedOn w:val="a"/>
    <w:next w:val="a"/>
    <w:link w:val="10"/>
    <w:uiPriority w:val="9"/>
    <w:qFormat/>
    <w:rsid w:val="00C914AD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914AD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3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914AD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914AD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5">
    <w:name w:val="heading 5"/>
    <w:basedOn w:val="a"/>
    <w:link w:val="50"/>
    <w:uiPriority w:val="9"/>
    <w:qFormat/>
    <w:rsid w:val="00C914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link w:val="70"/>
    <w:uiPriority w:val="9"/>
    <w:qFormat/>
    <w:rsid w:val="00C914A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4AD"/>
    <w:rPr>
      <w:rFonts w:ascii="Times New Roman" w:eastAsia="Times New Roman" w:hAnsi="Times New Roman" w:cs="Times New Roman"/>
      <w:b/>
      <w:bCs/>
      <w:sz w:val="24"/>
      <w:szCs w:val="3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14AD"/>
    <w:rPr>
      <w:rFonts w:ascii="Times New Roman" w:eastAsia="Times New Roman" w:hAnsi="Times New Roman" w:cs="Times New Roman"/>
      <w:b/>
      <w:bCs/>
      <w:sz w:val="28"/>
      <w:szCs w:val="3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4AD"/>
    <w:rPr>
      <w:rFonts w:ascii="Times New Roman" w:eastAsia="Times New Roman" w:hAnsi="Times New Roman" w:cs="Times New Roman"/>
      <w:sz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14AD"/>
    <w:rPr>
      <w:rFonts w:ascii="Times New Roman" w:eastAsia="Times New Roman" w:hAnsi="Times New Roman" w:cs="Times New Roman"/>
      <w:sz w:val="24"/>
      <w:szCs w:val="1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14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914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14AD"/>
  </w:style>
  <w:style w:type="character" w:styleId="a4">
    <w:name w:val="FollowedHyperlink"/>
    <w:basedOn w:val="a0"/>
    <w:uiPriority w:val="99"/>
    <w:semiHidden/>
    <w:unhideWhenUsed/>
    <w:rsid w:val="00C914AD"/>
    <w:rPr>
      <w:color w:val="0000FF"/>
      <w:u w:val="single"/>
    </w:rPr>
  </w:style>
  <w:style w:type="paragraph" w:customStyle="1" w:styleId="dr007">
    <w:name w:val="dr007"/>
    <w:basedOn w:val="a"/>
    <w:rsid w:val="00C9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9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91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9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91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unhideWhenUsed/>
    <w:rsid w:val="00C9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9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91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9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91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iles.stroyinf.ru/Data1/56/56966/" TargetMode="External"/><Relationship Id="rId18" Type="http://schemas.openxmlformats.org/officeDocument/2006/relationships/hyperlink" Target="http://files.stroyinf.ru/Data1/48/48537/index.htm" TargetMode="External"/><Relationship Id="rId26" Type="http://schemas.openxmlformats.org/officeDocument/2006/relationships/hyperlink" Target="http://files.stroyinf.ru/Data1/6/6852/index.htm" TargetMode="External"/><Relationship Id="rId39" Type="http://schemas.openxmlformats.org/officeDocument/2006/relationships/hyperlink" Target="http://files.stroyinf.ru/Data1/56/56966/" TargetMode="External"/><Relationship Id="rId21" Type="http://schemas.openxmlformats.org/officeDocument/2006/relationships/hyperlink" Target="http://files.stroyinf.ru/Data1/6/6928/index.htm" TargetMode="External"/><Relationship Id="rId34" Type="http://schemas.openxmlformats.org/officeDocument/2006/relationships/hyperlink" Target="http://files.stroyinf.ru/Data1/56/56966/" TargetMode="External"/><Relationship Id="rId42" Type="http://schemas.openxmlformats.org/officeDocument/2006/relationships/hyperlink" Target="http://files.stroyinf.ru/Data1/56/56966/" TargetMode="External"/><Relationship Id="rId47" Type="http://schemas.openxmlformats.org/officeDocument/2006/relationships/hyperlink" Target="http://files.stroyinf.ru/Data1/56/56966/" TargetMode="External"/><Relationship Id="rId50" Type="http://schemas.openxmlformats.org/officeDocument/2006/relationships/hyperlink" Target="http://files.stroyinf.ru/Data1/56/56966/" TargetMode="External"/><Relationship Id="rId55" Type="http://schemas.openxmlformats.org/officeDocument/2006/relationships/hyperlink" Target="http://files.stroyinf.ru/Data1/43/43640/index.htm" TargetMode="External"/><Relationship Id="rId63" Type="http://schemas.openxmlformats.org/officeDocument/2006/relationships/hyperlink" Target="http://files.stroyinf.ru/Data1/56/56966/" TargetMode="External"/><Relationship Id="rId68" Type="http://schemas.openxmlformats.org/officeDocument/2006/relationships/hyperlink" Target="http://files.stroyinf.ru/Data1/56/56966/" TargetMode="External"/><Relationship Id="rId76" Type="http://schemas.openxmlformats.org/officeDocument/2006/relationships/hyperlink" Target="http://files.stroyinf.ru/Data1/56/56966/" TargetMode="External"/><Relationship Id="rId84" Type="http://schemas.openxmlformats.org/officeDocument/2006/relationships/hyperlink" Target="http://files.stroyinf.ru/Data1/56/56966/" TargetMode="External"/><Relationship Id="rId7" Type="http://schemas.openxmlformats.org/officeDocument/2006/relationships/hyperlink" Target="http://files.stroyinf.ru/Data1/56/56966/" TargetMode="External"/><Relationship Id="rId71" Type="http://schemas.openxmlformats.org/officeDocument/2006/relationships/hyperlink" Target="http://files.stroyinf.ru/Data1/56/5696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iles.stroyinf.ru/Data1/56/56966/" TargetMode="External"/><Relationship Id="rId29" Type="http://schemas.openxmlformats.org/officeDocument/2006/relationships/hyperlink" Target="http://files.stroyinf.ru/Data1/56/56126/index.htm" TargetMode="External"/><Relationship Id="rId11" Type="http://schemas.openxmlformats.org/officeDocument/2006/relationships/hyperlink" Target="http://files.stroyinf.ru/Data1/56/56966/" TargetMode="External"/><Relationship Id="rId24" Type="http://schemas.openxmlformats.org/officeDocument/2006/relationships/hyperlink" Target="http://files.stroyinf.ru/Data1/10/10118/index.htm" TargetMode="External"/><Relationship Id="rId32" Type="http://schemas.openxmlformats.org/officeDocument/2006/relationships/hyperlink" Target="http://files.stroyinf.ru/Data1/56/56966/" TargetMode="External"/><Relationship Id="rId37" Type="http://schemas.openxmlformats.org/officeDocument/2006/relationships/hyperlink" Target="http://files.stroyinf.ru/Data1/56/56966/" TargetMode="External"/><Relationship Id="rId40" Type="http://schemas.openxmlformats.org/officeDocument/2006/relationships/hyperlink" Target="http://files.stroyinf.ru/Data1/56/56966/" TargetMode="External"/><Relationship Id="rId45" Type="http://schemas.openxmlformats.org/officeDocument/2006/relationships/hyperlink" Target="http://files.stroyinf.ru/Data1/56/56966/" TargetMode="External"/><Relationship Id="rId53" Type="http://schemas.openxmlformats.org/officeDocument/2006/relationships/hyperlink" Target="http://files.stroyinf.ru/Data1/1/1876/index.htm" TargetMode="External"/><Relationship Id="rId58" Type="http://schemas.openxmlformats.org/officeDocument/2006/relationships/image" Target="media/image2.gif"/><Relationship Id="rId66" Type="http://schemas.openxmlformats.org/officeDocument/2006/relationships/hyperlink" Target="http://files.stroyinf.ru/Data1/56/56966/" TargetMode="External"/><Relationship Id="rId74" Type="http://schemas.openxmlformats.org/officeDocument/2006/relationships/hyperlink" Target="http://files.stroyinf.ru/Data1/56/56966/" TargetMode="External"/><Relationship Id="rId79" Type="http://schemas.openxmlformats.org/officeDocument/2006/relationships/image" Target="media/image5.gif"/><Relationship Id="rId87" Type="http://schemas.openxmlformats.org/officeDocument/2006/relationships/fontTable" Target="fontTable.xml"/><Relationship Id="rId5" Type="http://schemas.openxmlformats.org/officeDocument/2006/relationships/hyperlink" Target="http://files.stroyinf.ru/Data1/56/56897/index.htm" TargetMode="External"/><Relationship Id="rId61" Type="http://schemas.openxmlformats.org/officeDocument/2006/relationships/hyperlink" Target="http://files.stroyinf.ru/Data1/56/56966/" TargetMode="External"/><Relationship Id="rId82" Type="http://schemas.openxmlformats.org/officeDocument/2006/relationships/hyperlink" Target="http://files.stroyinf.ru/Data1/56/56966/" TargetMode="External"/><Relationship Id="rId19" Type="http://schemas.openxmlformats.org/officeDocument/2006/relationships/hyperlink" Target="http://files.stroyinf.ru/Data1/48/48621/index12812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files.stroyinf.ru/Data1/56/56966/" TargetMode="External"/><Relationship Id="rId14" Type="http://schemas.openxmlformats.org/officeDocument/2006/relationships/hyperlink" Target="http://files.stroyinf.ru/Data1/56/56966/" TargetMode="External"/><Relationship Id="rId22" Type="http://schemas.openxmlformats.org/officeDocument/2006/relationships/hyperlink" Target="http://files.stroyinf.ru/Data1/10/10789/index.htm" TargetMode="External"/><Relationship Id="rId27" Type="http://schemas.openxmlformats.org/officeDocument/2006/relationships/hyperlink" Target="http://files.stroyinf.ru/Data1/41/41743/index.htm" TargetMode="External"/><Relationship Id="rId30" Type="http://schemas.openxmlformats.org/officeDocument/2006/relationships/hyperlink" Target="http://files.stroyinf.ru/Data1/56/56966/" TargetMode="External"/><Relationship Id="rId35" Type="http://schemas.openxmlformats.org/officeDocument/2006/relationships/hyperlink" Target="http://files.stroyinf.ru/Data1/56/56966/" TargetMode="External"/><Relationship Id="rId43" Type="http://schemas.openxmlformats.org/officeDocument/2006/relationships/hyperlink" Target="http://files.stroyinf.ru/Data1/56/56966/" TargetMode="External"/><Relationship Id="rId48" Type="http://schemas.openxmlformats.org/officeDocument/2006/relationships/hyperlink" Target="http://files.stroyinf.ru/Data1/56/56966/" TargetMode="External"/><Relationship Id="rId56" Type="http://schemas.openxmlformats.org/officeDocument/2006/relationships/hyperlink" Target="http://files.stroyinf.ru/Data1/11/11810/index.htm" TargetMode="External"/><Relationship Id="rId64" Type="http://schemas.openxmlformats.org/officeDocument/2006/relationships/hyperlink" Target="http://files.stroyinf.ru/Data1/56/56966/" TargetMode="External"/><Relationship Id="rId69" Type="http://schemas.openxmlformats.org/officeDocument/2006/relationships/hyperlink" Target="http://files.stroyinf.ru/Data1/56/56966/" TargetMode="External"/><Relationship Id="rId77" Type="http://schemas.openxmlformats.org/officeDocument/2006/relationships/image" Target="media/image4.gif"/><Relationship Id="rId8" Type="http://schemas.openxmlformats.org/officeDocument/2006/relationships/hyperlink" Target="http://files.stroyinf.ru/Data1/56/56966/" TargetMode="External"/><Relationship Id="rId51" Type="http://schemas.openxmlformats.org/officeDocument/2006/relationships/hyperlink" Target="http://files.stroyinf.ru/Data1/56/56966/" TargetMode="External"/><Relationship Id="rId72" Type="http://schemas.openxmlformats.org/officeDocument/2006/relationships/hyperlink" Target="http://files.stroyinf.ru/Data1/56/56966/" TargetMode="External"/><Relationship Id="rId80" Type="http://schemas.openxmlformats.org/officeDocument/2006/relationships/hyperlink" Target="http://files.stroyinf.ru/Data1/56/56966/" TargetMode="External"/><Relationship Id="rId85" Type="http://schemas.openxmlformats.org/officeDocument/2006/relationships/hyperlink" Target="http://files.stroyinf.ru/Data1/56/56966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files.stroyinf.ru/Data1/56/56966/" TargetMode="External"/><Relationship Id="rId17" Type="http://schemas.openxmlformats.org/officeDocument/2006/relationships/hyperlink" Target="http://files.stroyinf.ru/Data1/48/48621/index.htm" TargetMode="External"/><Relationship Id="rId25" Type="http://schemas.openxmlformats.org/officeDocument/2006/relationships/hyperlink" Target="http://files.stroyinf.ru/Data1/6/6804/index.htm" TargetMode="External"/><Relationship Id="rId33" Type="http://schemas.openxmlformats.org/officeDocument/2006/relationships/hyperlink" Target="http://files.stroyinf.ru/Data1/56/56966/" TargetMode="External"/><Relationship Id="rId38" Type="http://schemas.openxmlformats.org/officeDocument/2006/relationships/hyperlink" Target="http://files.stroyinf.ru/Data1/56/56966/" TargetMode="External"/><Relationship Id="rId46" Type="http://schemas.openxmlformats.org/officeDocument/2006/relationships/hyperlink" Target="http://files.stroyinf.ru/Data1/56/56966/" TargetMode="External"/><Relationship Id="rId59" Type="http://schemas.openxmlformats.org/officeDocument/2006/relationships/hyperlink" Target="http://files.stroyinf.ru/Data1/56/56966/" TargetMode="External"/><Relationship Id="rId67" Type="http://schemas.openxmlformats.org/officeDocument/2006/relationships/hyperlink" Target="http://files.stroyinf.ru/Data1/56/56966/" TargetMode="External"/><Relationship Id="rId20" Type="http://schemas.openxmlformats.org/officeDocument/2006/relationships/hyperlink" Target="http://files.stroyinf.ru/Data1/48/48621/index14820.htm" TargetMode="External"/><Relationship Id="rId41" Type="http://schemas.openxmlformats.org/officeDocument/2006/relationships/hyperlink" Target="http://files.stroyinf.ru/Data1/56/56966/" TargetMode="External"/><Relationship Id="rId54" Type="http://schemas.openxmlformats.org/officeDocument/2006/relationships/hyperlink" Target="http://files.stroyinf.ru/Data1/11/11811/index.htm" TargetMode="External"/><Relationship Id="rId62" Type="http://schemas.openxmlformats.org/officeDocument/2006/relationships/hyperlink" Target="http://files.stroyinf.ru/Data1/56/56138/index.htm" TargetMode="External"/><Relationship Id="rId70" Type="http://schemas.openxmlformats.org/officeDocument/2006/relationships/hyperlink" Target="http://files.stroyinf.ru/Data1/56/56966/" TargetMode="External"/><Relationship Id="rId75" Type="http://schemas.openxmlformats.org/officeDocument/2006/relationships/hyperlink" Target="http://files.stroyinf.ru/Data1/56/56966/" TargetMode="External"/><Relationship Id="rId83" Type="http://schemas.openxmlformats.org/officeDocument/2006/relationships/image" Target="media/image6.gif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files.stroyinf.ru/Data1/56/56966/" TargetMode="External"/><Relationship Id="rId15" Type="http://schemas.openxmlformats.org/officeDocument/2006/relationships/hyperlink" Target="http://files.stroyinf.ru/Data1/56/56966/" TargetMode="External"/><Relationship Id="rId23" Type="http://schemas.openxmlformats.org/officeDocument/2006/relationships/hyperlink" Target="http://files.stroyinf.ru/Data1/50/50282/index.htm" TargetMode="External"/><Relationship Id="rId28" Type="http://schemas.openxmlformats.org/officeDocument/2006/relationships/hyperlink" Target="http://files.stroyinf.ru/Data1/56/56138/index.htm" TargetMode="External"/><Relationship Id="rId36" Type="http://schemas.openxmlformats.org/officeDocument/2006/relationships/hyperlink" Target="http://files.stroyinf.ru/Data1/56/56966/" TargetMode="External"/><Relationship Id="rId49" Type="http://schemas.openxmlformats.org/officeDocument/2006/relationships/hyperlink" Target="http://files.stroyinf.ru/Data1/56/56966/" TargetMode="External"/><Relationship Id="rId57" Type="http://schemas.openxmlformats.org/officeDocument/2006/relationships/hyperlink" Target="http://files.stroyinf.ru/Data1/8/8180/index.htm" TargetMode="External"/><Relationship Id="rId10" Type="http://schemas.openxmlformats.org/officeDocument/2006/relationships/hyperlink" Target="http://files.stroyinf.ru/Data1/56/56966/" TargetMode="External"/><Relationship Id="rId31" Type="http://schemas.openxmlformats.org/officeDocument/2006/relationships/hyperlink" Target="http://files.stroyinf.ru/Data1/56/56966/" TargetMode="External"/><Relationship Id="rId44" Type="http://schemas.openxmlformats.org/officeDocument/2006/relationships/hyperlink" Target="http://files.stroyinf.ru/Data1/56/56966/" TargetMode="External"/><Relationship Id="rId52" Type="http://schemas.openxmlformats.org/officeDocument/2006/relationships/hyperlink" Target="http://files.stroyinf.ru/Data1/40/40510/index.htm" TargetMode="External"/><Relationship Id="rId60" Type="http://schemas.openxmlformats.org/officeDocument/2006/relationships/image" Target="media/image3.gif"/><Relationship Id="rId65" Type="http://schemas.openxmlformats.org/officeDocument/2006/relationships/hyperlink" Target="http://files.stroyinf.ru/Data1/56/56966/" TargetMode="External"/><Relationship Id="rId73" Type="http://schemas.openxmlformats.org/officeDocument/2006/relationships/hyperlink" Target="http://files.stroyinf.ru/Data1/56/56966/" TargetMode="External"/><Relationship Id="rId78" Type="http://schemas.openxmlformats.org/officeDocument/2006/relationships/hyperlink" Target="http://files.stroyinf.ru/Data1/56/56966/" TargetMode="External"/><Relationship Id="rId81" Type="http://schemas.openxmlformats.org/officeDocument/2006/relationships/hyperlink" Target="http://files.stroyinf.ru/Data1/56/56966/" TargetMode="External"/><Relationship Id="rId86" Type="http://schemas.openxmlformats.org/officeDocument/2006/relationships/hyperlink" Target="http://files.stroyinf.ru/Data1/56/569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12286</Words>
  <Characters>70031</Characters>
  <Application>Microsoft Office Word</Application>
  <DocSecurity>0</DocSecurity>
  <Lines>583</Lines>
  <Paragraphs>164</Paragraphs>
  <ScaleCrop>false</ScaleCrop>
  <Company>ЗАО "Энвижн Груп"</Company>
  <LinksUpToDate>false</LinksUpToDate>
  <CharactersWithSpaces>82153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ABychkov</dc:creator>
  <cp:keywords/>
  <dc:description/>
  <cp:lastModifiedBy>ABychkov</cp:lastModifiedBy>
  <cp:revision>2</cp:revision>
  <dcterms:created xsi:type="dcterms:W3CDTF">2011-08-15T13:29:00Z</dcterms:created>
  <dcterms:modified xsi:type="dcterms:W3CDTF">2011-08-15T13:31:00Z</dcterms:modified>
</cp:coreProperties>
</file>