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F7" w:rsidRDefault="00210AB4">
      <w:pP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z w:val="21"/>
          <w:szCs w:val="21"/>
          <w:shd w:val="clear" w:color="auto" w:fill="FFFFFF"/>
        </w:rPr>
        <w:t>ВОПРОС: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При выполнении строительно-монтажных работ на строящемся объекте столкнулись с непониманием заказчиком понятия «заготовительно-складские расходы», которые учитываются в сметной стоимости используемых материалов. Так, при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калькулировании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сметной стоимости приобретаемого гидротехнического бетона, сметная цена на который в базисном уровне цен (ТСЦ-2001) отсутствует, [заготовительно-складские расходы] нами начисляются на сумму издержек (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франко-приобъектный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склад). То есть предшествующей [позиции по] начислению заготовительно-складских расходов начисляем норматив в размере 0,75% на металлоконструкции и 2% на все материалы, кроме металлоконструкций.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Заказчик считает, что закупаемый бетон не поступает на склад для хранения, а значит, в его сметной стоимости не нужно учитывать надбавку в размере 2%. С таким видением этого вопроса сталкиваемся впервые, а поэтому затрудняемся дать правильный ответ заказчику. Что послужит подтверждением правильного решения данного вопроса?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Следующая проблема, с которой нам пришлось столкнуться с нынешним заказчиком, – это потери материалов при транспортировке (например, налипание бетона на стенки транспортных средств, раскол кирпича и проч.). Учтены ли эти потери в сметных нормативах, в частности в ГЭСН-2001 на выполнение строительных, специально-строительных и ремонтно-строительных работ? Заказчиком выдвинута альтернатива нормированию: это затраты, которые подрядчик оплачивает за счет своих накладных расходов. Это правда?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b/>
          <w:bCs/>
          <w:color w:val="666666"/>
          <w:sz w:val="21"/>
          <w:szCs w:val="21"/>
          <w:shd w:val="clear" w:color="auto" w:fill="FFFFFF"/>
        </w:rPr>
        <w:br/>
        <w:t>ОТВЕТ: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Сметная стоимость материалов, используемых в строительстве, определяется в базисном уровне цен – по сборникам (каталогам) сметных цен на материалы, изделия и конструкции – федеральным, территориальным (региональным) и отраслевым, а в текущем уровне цен – по фактической стоимости материалов, изделий и конструкций с учетом транспортных и заготовительно-складских расходов, наценок (надбавок), комиссионных вознаграждений, уплаченных снабженческим внешнеэкономическим организациям, оплаты услуг товарных бирж, включая брокерские услуги, таможенных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пошлин (п. 4.24 МДС 81-35.2004).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В п. 6 (последний абзац) ФССЦ 81-01-2001 «Общие положения» (Государственные сметные нормативы.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Федеральные сметные цены на материалы, изделия и конструкции, применяемые в строительстве) отмечено, что «при отсутствии в настоящих сметных ценах какого-либо наименования (марки) материалов, изделий и конструкций, используемого строительной организацией применительно к конкретному проекту, стоимость таких материальных ресурсов принимается по обосновывающим документам в уровне цен на 1 января 2000 г.».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В вашем случае именно для конкретного объекта следует определить сметную стоимость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материала в текущем уровне цен на основании фактической стоимости материалов, изделий и конструкций с учетом всех издержек, которые включаются в их сметную стоимость. А это значит, что неотъемлемой частью затрат являются заготовительно-складские расходы и их нужно учитывать при определении сметной стоимости материалов в текущем уровне цен. 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Получив сметную стоимость путем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калькулирования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затрат в текущем уровне цен, далее необходимо ее привести в базисный уровень цен по состоянию на 1 января 2000 г.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Это справедливо, так как в п. 3 ФССЦ 81-01-2001 «Общие положения» указано, что «сметные цены учитывают все расходы (отпускные цены, наценки снабженческо-сбытовых организаций, расходы на тару, упаковку и реквизит, транспортные, погрузочно-разгрузочные и заготовительно-складские расходы), связанные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с доставкой материалов, изделий и конструкций от баз (складов) организаций-подрядчиков или организаций-поставщиков до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приобъектного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склада строительства».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lastRenderedPageBreak/>
        <w:t>При этом следует учитывать, что «определение текущих цен на материальные ресурсы по конкретной стройке осуществляется на основе исходных данных, получаемых от подрядной организации, а также поставщиков и организаций – производителей продукции» (п. 4.25 МДС 81-35.2004).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В завершение «Калькуляция стоимости (ведомость) текущих сметных цен на материалы, изделия и конструкции составляется по элементам затрат» (п. 4.26 МДС 81-35.2004). Элементы затрат, включаемые в калькуляцию сметной стоимости, приведены как в п. 3 ФССЦ 81-01-2001 «Общие положения», так и в п. 4.24÷4.26 МДС 81-35.2004.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Рекомендации по определению в базисном уровне цен материальных ресурсов, отсутствующих в ФССЦ (ТССЦ)-2001, приведены в письме от 31 августа 2009 г. Министерства регионального развития Российской Федерации, где сказано следующее: «Для более достоверного определения в базисном уровне цен стоимости материальных ресурсов, отсутствующих в федеральных или территориальных сборниках цен,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Минрегион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России рекомендует осуществлять пересчет фактической текущей стоимости требуемого материального ресурса в базисную цену с помощью индекса, установленного для соответствующей группы материалов».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Положения о назначении, структуре накладных расходов строительно-монтажных организаций приведены в МДС 81-33(34)-2001. Потери материалов при их доставке на объект не оплачиваются за счет накладных расходов подрядчика. Затраты строительных организаций на содержание заготовительного аппарата (отделы снабжения, управления производственно-технологической комплектации), материальных базисных, участковых и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приобъектных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складов, затраты, связанные с размещением заказов на поставку материальных ресурсов, а также расходы, связанные с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трудноустранимыми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потерями и порчей материалов при их транспортировке и хранении на складах, учтены в сметных нормах заготовительно-складских расходов.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В п. 4 ФССЦ 81-01-2001 «Общие положения» указано, что при определении сметной стоимости материальных ресурсов «заготовительно-складские расходы приняты в процентах от стоимости материалов, в том числе по строительным материалам, изделиям и конструкциям (за исключением металлоконструкций) – 2%; по металлическим строительным конструкциям – 0,75%».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На основании изложенного очевидно, что заказчик допускает ошибку при принятии решения по вопросам ценообразования, а впоследствии – и сметной стоимости строительно-монтажных работ, производимых на объекте.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</w:p>
    <w:p w:rsidR="00210AB4" w:rsidRPr="00210AB4" w:rsidRDefault="00210AB4" w:rsidP="00210AB4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hyperlink r:id="rId4" w:history="1">
        <w:r w:rsidRPr="00210AB4">
          <w:rPr>
            <w:rFonts w:ascii="Arial" w:eastAsia="Times New Roman" w:hAnsi="Arial" w:cs="Arial"/>
            <w:color w:val="6178C6"/>
            <w:sz w:val="18"/>
            <w:u w:val="single"/>
            <w:lang w:eastAsia="ru-RU"/>
          </w:rPr>
          <w:t>Выпуск № 9 (136)</w:t>
        </w:r>
      </w:hyperlink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 2012г  журнал Информационные Технологии в Строительстве</w:t>
      </w:r>
    </w:p>
    <w:p w:rsidR="00210AB4" w:rsidRDefault="00210AB4"/>
    <w:sectPr w:rsidR="00210AB4" w:rsidSect="00AC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B4"/>
    <w:rsid w:val="00210AB4"/>
    <w:rsid w:val="00AC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0AB4"/>
  </w:style>
  <w:style w:type="paragraph" w:styleId="a3">
    <w:name w:val="Balloon Text"/>
    <w:basedOn w:val="a"/>
    <w:link w:val="a4"/>
    <w:uiPriority w:val="99"/>
    <w:semiHidden/>
    <w:unhideWhenUsed/>
    <w:rsid w:val="0021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A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10A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ts.grandsmeta.ru/issue-2012-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920</Words>
  <Characters>5249</Characters>
  <Application>Microsoft Office Word</Application>
  <DocSecurity>0</DocSecurity>
  <Lines>43</Lines>
  <Paragraphs>12</Paragraphs>
  <ScaleCrop>false</ScaleCrop>
  <Company>ООО "Геомассив - ЮГ"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2014-02-04T07:33:00Z</dcterms:created>
  <dcterms:modified xsi:type="dcterms:W3CDTF">2014-02-04T07:36:00Z</dcterms:modified>
</cp:coreProperties>
</file>