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A7" w:rsidRPr="00B87AA7" w:rsidRDefault="00B87AA7" w:rsidP="00B87AA7">
      <w:pPr>
        <w:spacing w:before="120" w:after="12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A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Письмо Министерства регионального развития РФ от 27 апреля 2009 г. N 12286-СМ/08</w:t>
      </w:r>
    </w:p>
    <w:p w:rsidR="00B87AA7" w:rsidRPr="00B87AA7" w:rsidRDefault="00B87AA7" w:rsidP="00B87AA7">
      <w:pPr>
        <w:spacing w:before="100" w:beforeAutospacing="1" w:after="100" w:afterAutospacing="1" w:line="240" w:lineRule="auto"/>
        <w:ind w:firstLine="284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AA7">
        <w:rPr>
          <w:rFonts w:ascii="Times New Roman" w:eastAsia="Times New Roman" w:hAnsi="Times New Roman" w:cs="Times New Roman"/>
          <w:sz w:val="24"/>
          <w:szCs w:val="20"/>
          <w:lang w:eastAsia="ru-RU"/>
        </w:rPr>
        <w:t>Министерством регионального развития Российской Федерации рассмотрено обращение и по поставленным вопросам сообщается следующее.</w:t>
      </w:r>
    </w:p>
    <w:p w:rsidR="00B87AA7" w:rsidRPr="00B87AA7" w:rsidRDefault="00B87AA7" w:rsidP="00B87AA7">
      <w:pPr>
        <w:spacing w:before="100" w:beforeAutospacing="1" w:after="100" w:afterAutospacing="1" w:line="240" w:lineRule="auto"/>
        <w:ind w:firstLine="284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7AA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Согласно п. 4.1 статьи 9 Федерального закона от 21.07.2005 </w:t>
      </w:r>
      <w:hyperlink r:id="rId4" w:tooltip="О размещении заказов на поставку товаров, выполнение работ, оказание услуг для государственных и муниципальных нужд" w:history="1">
        <w:r w:rsidRPr="00B87AA7">
          <w:rPr>
            <w:rFonts w:ascii="Arial" w:eastAsia="Times New Roman" w:hAnsi="Arial" w:cs="Arial"/>
            <w:color w:val="0364B6"/>
            <w:sz w:val="24"/>
            <w:u w:val="single"/>
            <w:lang w:eastAsia="ru-RU"/>
          </w:rPr>
          <w:t>N 94-ФЗ</w:t>
        </w:r>
      </w:hyperlink>
      <w:r w:rsidRPr="00B87AA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"О размещении заказов на поставку товаров, выполнение работ, оказание услуг для государственных и муниципальных нужд" цена государственного или муниципального контракта является твердой и не может изменяться в ходе его исполнения, за исключением случаев заключения контракта на основании пункта 2.1 части 2 статьи 55, а также случаев, установленных частями 4.2</w:t>
      </w:r>
      <w:proofErr w:type="gramEnd"/>
      <w:r w:rsidRPr="00B87AA7">
        <w:rPr>
          <w:rFonts w:ascii="Times New Roman" w:eastAsia="Times New Roman" w:hAnsi="Times New Roman" w:cs="Times New Roman"/>
          <w:sz w:val="24"/>
          <w:szCs w:val="20"/>
          <w:lang w:eastAsia="ru-RU"/>
        </w:rPr>
        <w:t>, 6, 6.2 - 6.4 статьи 9 указанного Федерального закона.</w:t>
      </w:r>
    </w:p>
    <w:p w:rsidR="00B87AA7" w:rsidRPr="00B87AA7" w:rsidRDefault="00B87AA7" w:rsidP="00B87AA7">
      <w:pPr>
        <w:spacing w:before="100" w:beforeAutospacing="1" w:after="100" w:afterAutospacing="1" w:line="240" w:lineRule="auto"/>
        <w:ind w:firstLine="284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AA7">
        <w:rPr>
          <w:rFonts w:ascii="Times New Roman" w:eastAsia="Times New Roman" w:hAnsi="Times New Roman" w:cs="Times New Roman"/>
          <w:sz w:val="24"/>
          <w:szCs w:val="20"/>
          <w:lang w:eastAsia="ru-RU"/>
        </w:rPr>
        <w:t>В соответствии с п. 1 статьи 6 указанного Федерального закона определение начальной (максимальной) цены государственного или муниципального контракта осуществляется заказчиком строительства.</w:t>
      </w:r>
    </w:p>
    <w:p w:rsidR="00B87AA7" w:rsidRPr="00B87AA7" w:rsidRDefault="00B87AA7" w:rsidP="00B87AA7">
      <w:pPr>
        <w:spacing w:before="100" w:beforeAutospacing="1" w:after="100" w:afterAutospacing="1" w:line="240" w:lineRule="auto"/>
        <w:ind w:firstLine="284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AA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Определение начальной стартовой цены конкурса (аукциона) рекомендуется производить с применением индексов пересчета, объявляемых </w:t>
      </w:r>
      <w:proofErr w:type="spellStart"/>
      <w:r w:rsidRPr="00B87AA7">
        <w:rPr>
          <w:rFonts w:ascii="Times New Roman" w:eastAsia="Times New Roman" w:hAnsi="Times New Roman" w:cs="Times New Roman"/>
          <w:sz w:val="24"/>
          <w:szCs w:val="20"/>
          <w:lang w:eastAsia="ru-RU"/>
        </w:rPr>
        <w:t>Минрегионом</w:t>
      </w:r>
      <w:proofErr w:type="spellEnd"/>
      <w:r w:rsidRPr="00B87AA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России, действовавших на момент объявления торгов, и индексов-дефляторов, объявляемых Министерством экономического развития Российской Федерации, учитывающих инфляционные процессы, возникающие в процессе строительства (п. 7.2 статьи 9 Федерального закона). Индексы-дефляторы применяются с учетом объемов работ, выполняемых в конкретном квартале, определенных в соответствии с проектом организации строительства (календарным планом работ).</w:t>
      </w:r>
    </w:p>
    <w:p w:rsidR="00B87AA7" w:rsidRPr="00B87AA7" w:rsidRDefault="00B87AA7" w:rsidP="00B87AA7">
      <w:pPr>
        <w:spacing w:before="100" w:beforeAutospacing="1" w:after="100" w:afterAutospacing="1" w:line="240" w:lineRule="auto"/>
        <w:ind w:firstLine="284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AA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этом взаиморасчеты за выполненные работы осуществляются в порядке, предусмотренном государственным контрактом в пределах твердой договорной цены.</w:t>
      </w:r>
    </w:p>
    <w:p w:rsidR="00B87AA7" w:rsidRPr="00B87AA7" w:rsidRDefault="00B87AA7" w:rsidP="00B87AA7">
      <w:pPr>
        <w:spacing w:before="100" w:beforeAutospacing="1" w:after="100" w:afterAutospacing="1" w:line="240" w:lineRule="auto"/>
        <w:ind w:firstLine="284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AA7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tbl>
      <w:tblPr>
        <w:tblW w:w="5000" w:type="pct"/>
        <w:jc w:val="center"/>
        <w:tblLook w:val="04A0"/>
      </w:tblPr>
      <w:tblGrid>
        <w:gridCol w:w="5712"/>
        <w:gridCol w:w="3859"/>
      </w:tblGrid>
      <w:tr w:rsidR="00B87AA7" w:rsidRPr="00B87AA7" w:rsidTr="00B87AA7">
        <w:trPr>
          <w:jc w:val="center"/>
        </w:trPr>
        <w:tc>
          <w:tcPr>
            <w:tcW w:w="2984" w:type="pct"/>
            <w:hideMark/>
          </w:tcPr>
          <w:p w:rsidR="00B87AA7" w:rsidRPr="00B87AA7" w:rsidRDefault="00B87AA7" w:rsidP="00B87AA7">
            <w:pPr>
              <w:spacing w:before="100" w:beforeAutospacing="1" w:after="100" w:afterAutospacing="1" w:line="240" w:lineRule="auto"/>
              <w:textAlignment w:val="top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</w:pPr>
            <w:r w:rsidRPr="00B87AA7">
              <w:rPr>
                <w:rFonts w:ascii="Times New Roman" w:eastAsia="Times New Roman" w:hAnsi="Times New Roman" w:cs="Times New Roman"/>
                <w:color w:val="414B56"/>
                <w:sz w:val="24"/>
                <w:szCs w:val="20"/>
                <w:lang w:eastAsia="ru-RU"/>
              </w:rPr>
              <w:t xml:space="preserve">Директор Департамента регулирования градостроительной деятельности </w:t>
            </w:r>
          </w:p>
        </w:tc>
        <w:tc>
          <w:tcPr>
            <w:tcW w:w="2016" w:type="pct"/>
            <w:hideMark/>
          </w:tcPr>
          <w:p w:rsidR="00B87AA7" w:rsidRPr="00B87AA7" w:rsidRDefault="00B87AA7" w:rsidP="00B87AA7">
            <w:pPr>
              <w:spacing w:before="100" w:beforeAutospacing="1" w:after="100" w:afterAutospacing="1" w:line="240" w:lineRule="auto"/>
              <w:jc w:val="right"/>
              <w:textAlignment w:val="top"/>
              <w:rPr>
                <w:rFonts w:ascii="Times New Roman" w:eastAsia="Times New Roman" w:hAnsi="Times New Roman" w:cs="Times New Roman"/>
                <w:color w:val="414B56"/>
                <w:sz w:val="24"/>
                <w:szCs w:val="24"/>
                <w:lang w:eastAsia="ru-RU"/>
              </w:rPr>
            </w:pPr>
            <w:r w:rsidRPr="00B87AA7">
              <w:rPr>
                <w:rFonts w:ascii="Times New Roman" w:eastAsia="Times New Roman" w:hAnsi="Times New Roman" w:cs="Times New Roman"/>
                <w:color w:val="414B56"/>
                <w:sz w:val="24"/>
                <w:szCs w:val="20"/>
                <w:lang w:eastAsia="ru-RU"/>
              </w:rPr>
              <w:t>С.Н. Малышев</w:t>
            </w:r>
          </w:p>
        </w:tc>
      </w:tr>
    </w:tbl>
    <w:p w:rsidR="00023F51" w:rsidRDefault="00023F51">
      <w:pPr>
        <w:rPr>
          <w:lang w:val="en-US"/>
        </w:rPr>
      </w:pPr>
    </w:p>
    <w:p w:rsidR="002848DF" w:rsidRDefault="002848DF">
      <w:pPr>
        <w:rPr>
          <w:lang w:val="en-US"/>
        </w:rPr>
      </w:pPr>
    </w:p>
    <w:p w:rsidR="002848DF" w:rsidRDefault="002848DF">
      <w:pPr>
        <w:rPr>
          <w:lang w:val="en-US"/>
        </w:rPr>
      </w:pPr>
    </w:p>
    <w:p w:rsidR="002848DF" w:rsidRDefault="002848DF">
      <w:pPr>
        <w:rPr>
          <w:lang w:val="en-US"/>
        </w:rPr>
      </w:pPr>
    </w:p>
    <w:p w:rsidR="002848DF" w:rsidRDefault="002848DF">
      <w:pPr>
        <w:rPr>
          <w:lang w:val="en-US"/>
        </w:rPr>
      </w:pPr>
    </w:p>
    <w:p w:rsidR="002848DF" w:rsidRDefault="002848DF">
      <w:pPr>
        <w:rPr>
          <w:lang w:val="en-US"/>
        </w:rPr>
      </w:pPr>
    </w:p>
    <w:p w:rsidR="002848DF" w:rsidRDefault="002848DF">
      <w:pPr>
        <w:rPr>
          <w:lang w:val="en-US"/>
        </w:rPr>
      </w:pPr>
    </w:p>
    <w:p w:rsidR="002848DF" w:rsidRDefault="002848DF">
      <w:pPr>
        <w:rPr>
          <w:lang w:val="en-US"/>
        </w:rPr>
      </w:pPr>
    </w:p>
    <w:p w:rsidR="002848DF" w:rsidRDefault="002848DF">
      <w:pPr>
        <w:rPr>
          <w:lang w:val="en-US"/>
        </w:rPr>
      </w:pPr>
    </w:p>
    <w:p w:rsidR="002848DF" w:rsidRDefault="002848DF">
      <w:pPr>
        <w:rPr>
          <w:lang w:val="en-US"/>
        </w:rPr>
      </w:pPr>
    </w:p>
    <w:p w:rsidR="002848DF" w:rsidRDefault="002848DF" w:rsidP="002848DF">
      <w:pPr>
        <w:spacing w:before="120" w:after="120"/>
        <w:jc w:val="center"/>
        <w:textAlignment w:val="top"/>
      </w:pPr>
      <w:r>
        <w:rPr>
          <w:b/>
          <w:szCs w:val="20"/>
        </w:rPr>
        <w:lastRenderedPageBreak/>
        <w:t>Письмо Министерства регионального развития РФ от 22 июня 2009 г. № 18981-ИМ/08</w:t>
      </w:r>
    </w:p>
    <w:p w:rsidR="002848DF" w:rsidRDefault="002848DF" w:rsidP="002848DF">
      <w:pPr>
        <w:spacing w:before="100" w:beforeAutospacing="1" w:after="100" w:afterAutospacing="1"/>
        <w:ind w:firstLine="284"/>
        <w:textAlignment w:val="top"/>
      </w:pPr>
      <w:r>
        <w:rPr>
          <w:szCs w:val="20"/>
        </w:rPr>
        <w:t>Министерством регионального развития Российской Федерации рассмотрено обращение Министерства строительства и дорожного хозяйства Астраханской области от 04.06.2009 № 10-01/2328 и сообщается следующее.</w:t>
      </w:r>
    </w:p>
    <w:p w:rsidR="002848DF" w:rsidRDefault="002848DF" w:rsidP="002848DF">
      <w:pPr>
        <w:spacing w:before="100" w:beforeAutospacing="1" w:after="100" w:afterAutospacing="1"/>
        <w:ind w:firstLine="284"/>
        <w:textAlignment w:val="top"/>
      </w:pPr>
      <w:proofErr w:type="gramStart"/>
      <w:r>
        <w:rPr>
          <w:szCs w:val="20"/>
        </w:rPr>
        <w:t xml:space="preserve">Согласно п. 4.1 статьи 9 Федерального закона от 21.07.2005 </w:t>
      </w:r>
      <w:hyperlink r:id="rId5" w:tooltip="О размещении заказов на поставку товаров, выполнения работ, оказание услуг для государственных и муниципальных нужд" w:history="1">
        <w:r>
          <w:rPr>
            <w:rStyle w:val="a3"/>
            <w:szCs w:val="20"/>
          </w:rPr>
          <w:t>№ 94-ФЗ</w:t>
        </w:r>
      </w:hyperlink>
      <w:r>
        <w:rPr>
          <w:szCs w:val="20"/>
        </w:rPr>
        <w:t xml:space="preserve"> "О размещении заказов на поставку товаров, выполнения работ, оказание услуг для государственных и муниципальных нужд" цена государственного или муниципального контракта является твердой и не может изменяться в ходе его исполнения за исключением случаев заключения контракта на основании пункта 2.1 части 2 статьи 55, а также случаев, установленных частями 4.2, 6</w:t>
      </w:r>
      <w:proofErr w:type="gramEnd"/>
      <w:r>
        <w:rPr>
          <w:szCs w:val="20"/>
        </w:rPr>
        <w:t>, 6.2 - 6.4 статьи 9 указанного Федерального закона.</w:t>
      </w:r>
    </w:p>
    <w:p w:rsidR="002848DF" w:rsidRDefault="002848DF" w:rsidP="002848DF">
      <w:pPr>
        <w:spacing w:before="100" w:beforeAutospacing="1" w:after="100" w:afterAutospacing="1"/>
        <w:ind w:firstLine="284"/>
        <w:textAlignment w:val="top"/>
      </w:pPr>
      <w:r>
        <w:rPr>
          <w:szCs w:val="20"/>
        </w:rPr>
        <w:t>В соответствии с п. 1 статьи 6 указанного Федерального закона определение начальной (максимальной) цены государственного или муниципального контракта осуществляется заказчиком строительства.</w:t>
      </w:r>
    </w:p>
    <w:p w:rsidR="002848DF" w:rsidRDefault="002848DF" w:rsidP="002848DF">
      <w:pPr>
        <w:spacing w:before="100" w:beforeAutospacing="1" w:after="100" w:afterAutospacing="1"/>
        <w:ind w:firstLine="284"/>
        <w:textAlignment w:val="top"/>
      </w:pPr>
      <w:proofErr w:type="gramStart"/>
      <w:r>
        <w:rPr>
          <w:szCs w:val="20"/>
        </w:rPr>
        <w:t xml:space="preserve">При этом начальную (максимальную) цену конкурса (аукциона) рекомендуется определять </w:t>
      </w:r>
      <w:proofErr w:type="spellStart"/>
      <w:r>
        <w:rPr>
          <w:szCs w:val="20"/>
        </w:rPr>
        <w:t>базисно-индексным</w:t>
      </w:r>
      <w:proofErr w:type="spellEnd"/>
      <w:r>
        <w:rPr>
          <w:szCs w:val="20"/>
        </w:rPr>
        <w:t xml:space="preserve"> способом с применением индексов изменения сметной стоимости, сообщаемых </w:t>
      </w:r>
      <w:proofErr w:type="spellStart"/>
      <w:r>
        <w:rPr>
          <w:szCs w:val="20"/>
        </w:rPr>
        <w:t>Минрегионом</w:t>
      </w:r>
      <w:proofErr w:type="spellEnd"/>
      <w:r>
        <w:rPr>
          <w:szCs w:val="20"/>
        </w:rPr>
        <w:t xml:space="preserve"> России; действовавших на момент объявления торгов и прогнозных средневзвешенных (в целом по Российской Федерации) индексов-дефляторов, устанавливаемых Министерством экономического развития Российской Федерации; или прогнозных индексов изменения стоимости строительства по субъектам Российской Федерации, сообщаемых </w:t>
      </w:r>
      <w:proofErr w:type="spellStart"/>
      <w:r>
        <w:rPr>
          <w:szCs w:val="20"/>
        </w:rPr>
        <w:t>Минрегионом</w:t>
      </w:r>
      <w:proofErr w:type="spellEnd"/>
      <w:r>
        <w:rPr>
          <w:szCs w:val="20"/>
        </w:rPr>
        <w:t xml:space="preserve"> России.</w:t>
      </w:r>
      <w:proofErr w:type="gramEnd"/>
      <w:r>
        <w:rPr>
          <w:szCs w:val="20"/>
        </w:rPr>
        <w:t xml:space="preserve"> Применение тех или иных индексов-дефляторов является прерогативой заказчика строительства.</w:t>
      </w:r>
    </w:p>
    <w:p w:rsidR="002848DF" w:rsidRDefault="002848DF" w:rsidP="002848DF">
      <w:pPr>
        <w:spacing w:before="100" w:beforeAutospacing="1" w:after="100" w:afterAutospacing="1"/>
        <w:ind w:firstLine="284"/>
        <w:textAlignment w:val="top"/>
      </w:pPr>
      <w:r>
        <w:rPr>
          <w:szCs w:val="20"/>
        </w:rPr>
        <w:t>Прогнозные индексы-дефляторы рекомендуется применять с учетом объемов работ, планируемых к выполнению в конкретном квартале, определенных в соответствии с проектом организации строительства (календарным планом работ).</w:t>
      </w:r>
    </w:p>
    <w:p w:rsidR="002848DF" w:rsidRDefault="002848DF" w:rsidP="002848DF">
      <w:pPr>
        <w:spacing w:before="100" w:beforeAutospacing="1" w:after="100" w:afterAutospacing="1"/>
        <w:ind w:firstLine="284"/>
        <w:textAlignment w:val="top"/>
      </w:pPr>
      <w:r>
        <w:rPr>
          <w:szCs w:val="20"/>
        </w:rPr>
        <w:t>При этом взаиморасчеты за выполненные работы осуществляются в порядке, предусмотренным государственным контрактом, в пределах твердой договорной цены.</w:t>
      </w:r>
    </w:p>
    <w:p w:rsidR="002848DF" w:rsidRDefault="002848DF" w:rsidP="002848DF">
      <w:pPr>
        <w:spacing w:before="100" w:beforeAutospacing="1" w:after="100" w:afterAutospacing="1"/>
        <w:ind w:firstLine="284"/>
        <w:textAlignment w:val="top"/>
      </w:pPr>
      <w:r>
        <w:rPr>
          <w:szCs w:val="20"/>
        </w:rPr>
        <w:t> </w:t>
      </w:r>
    </w:p>
    <w:tbl>
      <w:tblPr>
        <w:tblW w:w="5000" w:type="pct"/>
        <w:jc w:val="center"/>
        <w:tblLook w:val="04A0"/>
      </w:tblPr>
      <w:tblGrid>
        <w:gridCol w:w="5624"/>
        <w:gridCol w:w="3947"/>
      </w:tblGrid>
      <w:tr w:rsidR="002848DF" w:rsidTr="002848DF">
        <w:trPr>
          <w:jc w:val="center"/>
        </w:trPr>
        <w:tc>
          <w:tcPr>
            <w:tcW w:w="2938" w:type="pct"/>
            <w:hideMark/>
          </w:tcPr>
          <w:p w:rsidR="002848DF" w:rsidRDefault="002848DF">
            <w:pPr>
              <w:spacing w:before="100" w:beforeAutospacing="1" w:after="100" w:afterAutospacing="1"/>
              <w:textAlignment w:val="top"/>
              <w:rPr>
                <w:color w:val="414B56"/>
                <w:sz w:val="24"/>
                <w:szCs w:val="24"/>
              </w:rPr>
            </w:pPr>
            <w:r>
              <w:rPr>
                <w:color w:val="414B56"/>
                <w:szCs w:val="20"/>
              </w:rPr>
              <w:t xml:space="preserve">И.о. директора Департамента регулирования градостроительной деятельности </w:t>
            </w:r>
          </w:p>
        </w:tc>
        <w:tc>
          <w:tcPr>
            <w:tcW w:w="2062" w:type="pct"/>
            <w:hideMark/>
          </w:tcPr>
          <w:p w:rsidR="002848DF" w:rsidRDefault="002848DF">
            <w:pPr>
              <w:spacing w:before="100" w:beforeAutospacing="1" w:after="100" w:afterAutospacing="1"/>
              <w:jc w:val="right"/>
              <w:textAlignment w:val="top"/>
              <w:rPr>
                <w:color w:val="414B56"/>
                <w:sz w:val="24"/>
                <w:szCs w:val="24"/>
              </w:rPr>
            </w:pPr>
            <w:r>
              <w:rPr>
                <w:color w:val="414B56"/>
                <w:szCs w:val="20"/>
              </w:rPr>
              <w:t>И.В. Мирон</w:t>
            </w:r>
          </w:p>
        </w:tc>
      </w:tr>
    </w:tbl>
    <w:p w:rsidR="002848DF" w:rsidRPr="002848DF" w:rsidRDefault="002848DF">
      <w:pPr>
        <w:rPr>
          <w:lang w:val="en-US"/>
        </w:rPr>
      </w:pPr>
    </w:p>
    <w:sectPr w:rsidR="002848DF" w:rsidRPr="002848DF" w:rsidSect="0002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AA7"/>
    <w:rsid w:val="00023F51"/>
    <w:rsid w:val="002848DF"/>
    <w:rsid w:val="008E59BB"/>
    <w:rsid w:val="009156A5"/>
    <w:rsid w:val="00B87AA7"/>
    <w:rsid w:val="00B91E45"/>
    <w:rsid w:val="00DC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AA7"/>
    <w:rPr>
      <w:rFonts w:ascii="Arial" w:hAnsi="Arial" w:cs="Arial" w:hint="default"/>
      <w:strike w:val="0"/>
      <w:dstrike w:val="0"/>
      <w:color w:val="0364B6"/>
      <w:u w:val="singl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plexdoc.ru/ntd/544558" TargetMode="External"/><Relationship Id="rId4" Type="http://schemas.openxmlformats.org/officeDocument/2006/relationships/hyperlink" Target="http://www.complexdoc.ru/ntd/5445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3467</Characters>
  <Application>Microsoft Office Word</Application>
  <DocSecurity>0</DocSecurity>
  <Lines>28</Lines>
  <Paragraphs>8</Paragraphs>
  <ScaleCrop>false</ScaleCrop>
  <Company>ЗАО "Энвижн Груп"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ABychkov</dc:creator>
  <cp:keywords/>
  <dc:description/>
  <cp:lastModifiedBy>ABychkov</cp:lastModifiedBy>
  <cp:revision>3</cp:revision>
  <dcterms:created xsi:type="dcterms:W3CDTF">2011-01-18T14:07:00Z</dcterms:created>
  <dcterms:modified xsi:type="dcterms:W3CDTF">2011-01-18T14:21:00Z</dcterms:modified>
</cp:coreProperties>
</file>